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49" w:rsidRPr="00B87F18" w:rsidRDefault="00BE2395" w:rsidP="009C08A4">
      <w:pPr>
        <w:jc w:val="center"/>
        <w:rPr>
          <w:rFonts w:ascii="Arial" w:hAnsi="Arial" w:cs="Arial"/>
          <w:b/>
          <w:sz w:val="30"/>
        </w:rPr>
      </w:pPr>
      <w:bookmarkStart w:id="0" w:name="_GoBack"/>
      <w:bookmarkEnd w:id="0"/>
      <w:r>
        <w:rPr>
          <w:rFonts w:ascii="Arial" w:hAnsi="Arial" w:cs="Arial"/>
          <w:b/>
          <w:sz w:val="40"/>
        </w:rPr>
        <w:t>Rifaximin</w:t>
      </w:r>
      <w:r w:rsidR="00F74849" w:rsidRPr="00B87F18">
        <w:rPr>
          <w:rFonts w:ascii="Arial" w:hAnsi="Arial" w:cs="Arial"/>
          <w:b/>
          <w:sz w:val="40"/>
        </w:rPr>
        <w:t xml:space="preserve"> </w:t>
      </w:r>
      <w:r w:rsidR="00F74849" w:rsidRPr="009C08A4">
        <w:rPr>
          <w:rFonts w:ascii="Arial" w:hAnsi="Arial" w:cs="Arial"/>
          <w:b/>
          <w:sz w:val="40"/>
        </w:rPr>
        <w:t>(</w:t>
      </w:r>
      <w:r w:rsidRPr="009C08A4">
        <w:rPr>
          <w:rFonts w:ascii="Arial" w:hAnsi="Arial" w:cs="Arial"/>
          <w:b/>
          <w:sz w:val="40"/>
        </w:rPr>
        <w:t>Targaxan</w:t>
      </w:r>
      <w:r w:rsidR="00F74849" w:rsidRPr="004736AF">
        <w:rPr>
          <w:rFonts w:ascii="Arial" w:hAnsi="Arial" w:cs="Arial"/>
          <w:b/>
          <w:sz w:val="40"/>
          <w:vertAlign w:val="superscript"/>
        </w:rPr>
        <w:t>®</w:t>
      </w:r>
      <w:r w:rsidRPr="004736AF">
        <w:rPr>
          <w:rFonts w:ascii="Arial" w:hAnsi="Arial" w:cs="Arial"/>
          <w:b/>
          <w:sz w:val="40"/>
          <w:vertAlign w:val="superscript"/>
        </w:rPr>
        <w:t>▼</w:t>
      </w:r>
      <w:r w:rsidR="00F74849" w:rsidRPr="009C08A4">
        <w:rPr>
          <w:rFonts w:ascii="Arial" w:hAnsi="Arial" w:cs="Arial"/>
          <w:b/>
          <w:sz w:val="40"/>
        </w:rPr>
        <w:t>)</w:t>
      </w:r>
      <w:r w:rsidR="009C08A4" w:rsidRPr="009C08A4">
        <w:rPr>
          <w:rFonts w:ascii="Arial" w:hAnsi="Arial" w:cs="Arial"/>
          <w:b/>
          <w:sz w:val="40"/>
        </w:rPr>
        <w:t xml:space="preserve"> 550 mg tablets</w:t>
      </w:r>
    </w:p>
    <w:p w:rsidR="00F74849" w:rsidRPr="00B87F18" w:rsidRDefault="00F74849">
      <w:pPr>
        <w:jc w:val="both"/>
        <w:rPr>
          <w:rFonts w:ascii="Arial" w:hAnsi="Arial" w:cs="Arial"/>
          <w:sz w:val="16"/>
        </w:rPr>
      </w:pPr>
    </w:p>
    <w:p w:rsidR="00F74849" w:rsidRPr="00B87F18" w:rsidRDefault="00ED0DAA">
      <w:pPr>
        <w:jc w:val="both"/>
        <w:rPr>
          <w:rFonts w:ascii="Arial" w:hAnsi="Arial" w:cs="Arial"/>
          <w:sz w:val="24"/>
          <w:shd w:val="pct5" w:color="auto" w:fill="auto"/>
        </w:rPr>
      </w:pPr>
      <w:r w:rsidRPr="00B87F18">
        <w:rPr>
          <w:rFonts w:ascii="Arial" w:hAnsi="Arial" w:cs="Arial"/>
          <w:sz w:val="24"/>
          <w:shd w:val="pct5" w:color="auto" w:fill="auto"/>
        </w:rPr>
        <w:t xml:space="preserve">ESCA: </w:t>
      </w:r>
      <w:r w:rsidR="00BE2395">
        <w:rPr>
          <w:rFonts w:ascii="Arial" w:hAnsi="Arial" w:cs="Arial"/>
          <w:sz w:val="24"/>
          <w:shd w:val="pct5" w:color="auto" w:fill="auto"/>
        </w:rPr>
        <w:t>F</w:t>
      </w:r>
      <w:r w:rsidR="00BE2395" w:rsidRPr="00BE2395">
        <w:rPr>
          <w:rFonts w:ascii="Arial" w:hAnsi="Arial" w:cs="Arial"/>
          <w:sz w:val="24"/>
          <w:shd w:val="pct5" w:color="auto" w:fill="auto"/>
        </w:rPr>
        <w:t>or the reduction in recurrence of episodes of overt hepatic encephalopathy in patients ≥ 18 years</w:t>
      </w:r>
    </w:p>
    <w:p w:rsidR="00F74849" w:rsidRPr="00B87F18" w:rsidRDefault="00BC44EC">
      <w:pPr>
        <w:jc w:val="both"/>
        <w:rPr>
          <w:rFonts w:ascii="Arial" w:hAnsi="Arial" w:cs="Arial"/>
          <w:sz w:val="12"/>
        </w:rPr>
      </w:pPr>
      <w:r>
        <w:rPr>
          <w:rFonts w:ascii="Arial" w:hAnsi="Arial" w:cs="Arial"/>
          <w:noProof/>
          <w:sz w:val="12"/>
          <w:lang w:val="en-US" w:eastAsia="en-US"/>
        </w:rPr>
        <mc:AlternateContent>
          <mc:Choice Requires="wps">
            <w:drawing>
              <wp:anchor distT="0" distB="0" distL="114300" distR="114300" simplePos="0" relativeHeight="251657728" behindDoc="0" locked="0" layoutInCell="0" allowOverlap="1">
                <wp:simplePos x="0" y="0"/>
                <wp:positionH relativeFrom="column">
                  <wp:posOffset>11430</wp:posOffset>
                </wp:positionH>
                <wp:positionV relativeFrom="paragraph">
                  <wp:posOffset>52070</wp:posOffset>
                </wp:positionV>
                <wp:extent cx="61264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1pt" to="48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0A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E6zfFrMQDQ6+BJSDonGOv+Z6w4Fo8ISOEdgcto6H4iQcggJ9yi9EVJG&#10;saVCfYXnk3wSE5yWggVnCHP2sF9Ji04kjEv8YlXgeQyz+qhYBGs5Yeub7YmQVxsulyrgQSlA52Zd&#10;5+HHPJ2vZ+tZMSry6XpUpHU9+rRZFaPpJvs4qT/Uq1Wd/QzUsqJsBWNcBXbDbGbF32l/eyXXqbpP&#10;570NyVv02C8gO/wj6ahlkO86CHvNLjs7aAzjGINvTyfM++Me7McHvvwFAAD//wMAUEsDBBQABgAI&#10;AAAAIQDi/CEF2AAAAAUBAAAPAAAAZHJzL2Rvd25yZXYueG1sTI7BTsMwEETvSP0HaytxqahDkKIS&#10;4lRVITcuFBDXbbwkEfE6jd028PUsXOD4NKOZV6wn16sTjaHzbOB6mYAirr3tuDHw8lxdrUCFiGyx&#10;90wGPinAupxdFJhbf+YnOu1io2SEQ44G2hiHXOtQt+QwLP1ALNm7Hx1GwbHRdsSzjLtep0mSaYcd&#10;y0OLA21bqj92R2cgVK90qL4W9SJ5u2k8pYf7xwc05nI+be5ARZriXxl+9EUdSnHa+yPboHphEY8G&#10;VikoSW+zLAO1/2VdFvq/ffkNAAD//wMAUEsBAi0AFAAGAAgAAAAhALaDOJL+AAAA4QEAABMAAAAA&#10;AAAAAAAAAAAAAAAAAFtDb250ZW50X1R5cGVzXS54bWxQSwECLQAUAAYACAAAACEAOP0h/9YAAACU&#10;AQAACwAAAAAAAAAAAAAAAAAvAQAAX3JlbHMvLnJlbHNQSwECLQAUAAYACAAAACEAFMR9ABECAAAo&#10;BAAADgAAAAAAAAAAAAAAAAAuAgAAZHJzL2Uyb0RvYy54bWxQSwECLQAUAAYACAAAACEA4vwhBdgA&#10;AAAFAQAADwAAAAAAAAAAAAAAAABrBAAAZHJzL2Rvd25yZXYueG1sUEsFBgAAAAAEAAQA8wAAAHAF&#10;AAAAAA==&#10;" o:allowincell="f"/>
            </w:pict>
          </mc:Fallback>
        </mc:AlternateContent>
      </w:r>
    </w:p>
    <w:p w:rsidR="00F74849" w:rsidRPr="00B87F18" w:rsidRDefault="00F74849">
      <w:pPr>
        <w:pStyle w:val="mtrachead3"/>
        <w:tabs>
          <w:tab w:val="right" w:pos="360"/>
          <w:tab w:val="left" w:pos="540"/>
        </w:tabs>
        <w:jc w:val="both"/>
        <w:rPr>
          <w:rFonts w:ascii="Arial" w:hAnsi="Arial" w:cs="Arial"/>
        </w:rPr>
      </w:pPr>
      <w:r w:rsidRPr="00B87F18">
        <w:rPr>
          <w:rFonts w:ascii="Arial" w:hAnsi="Arial" w:cs="Arial"/>
        </w:rPr>
        <w:t>AREAS OF RESPONSIBILITY FOR THE SHARING OF CARE</w:t>
      </w:r>
    </w:p>
    <w:p w:rsidR="00F74849" w:rsidRPr="00B87F18" w:rsidRDefault="00F74849">
      <w:pPr>
        <w:tabs>
          <w:tab w:val="left" w:pos="540"/>
        </w:tabs>
        <w:jc w:val="both"/>
        <w:rPr>
          <w:rFonts w:ascii="Arial" w:hAnsi="Arial" w:cs="Arial"/>
          <w:b/>
          <w:snapToGrid w:val="0"/>
          <w:lang w:eastAsia="en-US"/>
        </w:rPr>
      </w:pPr>
      <w:r w:rsidRPr="00B87F18">
        <w:rPr>
          <w:rFonts w:ascii="Arial" w:hAnsi="Arial" w:cs="Arial"/>
        </w:rPr>
        <w:t xml:space="preserve">This shared care agreement outlines suggested ways in which the responsibilities for managing the prescribing of </w:t>
      </w:r>
      <w:r w:rsidR="00BE2395">
        <w:rPr>
          <w:rFonts w:ascii="Arial" w:hAnsi="Arial" w:cs="Arial"/>
        </w:rPr>
        <w:t>rifaximin</w:t>
      </w:r>
      <w:r w:rsidR="009C08A4">
        <w:rPr>
          <w:rFonts w:ascii="Arial" w:hAnsi="Arial" w:cs="Arial"/>
        </w:rPr>
        <w:t xml:space="preserve"> 550 mg tablets</w:t>
      </w:r>
      <w:r w:rsidR="00BE2395">
        <w:rPr>
          <w:rFonts w:ascii="Arial" w:hAnsi="Arial" w:cs="Arial"/>
        </w:rPr>
        <w:t xml:space="preserve"> </w:t>
      </w:r>
      <w:r w:rsidR="00ED0DAA" w:rsidRPr="00B87F18">
        <w:rPr>
          <w:rFonts w:ascii="Arial" w:hAnsi="Arial" w:cs="Arial"/>
        </w:rPr>
        <w:t xml:space="preserve">for the </w:t>
      </w:r>
      <w:r w:rsidR="00BE2395" w:rsidRPr="00BE2395">
        <w:rPr>
          <w:rFonts w:ascii="Arial" w:hAnsi="Arial" w:cs="Arial"/>
        </w:rPr>
        <w:t xml:space="preserve">reduction in recurrence of episodes of overt hepatic encephalopathy in patients ≥ 18 years </w:t>
      </w:r>
      <w:r w:rsidRPr="00B87F18">
        <w:rPr>
          <w:rFonts w:ascii="Arial" w:hAnsi="Arial" w:cs="Arial"/>
        </w:rPr>
        <w:t>can be shared between the specialist and general practitioner (GP)</w:t>
      </w:r>
      <w:proofErr w:type="gramStart"/>
      <w:r w:rsidRPr="00B87F18">
        <w:rPr>
          <w:rFonts w:ascii="Arial" w:hAnsi="Arial" w:cs="Arial"/>
        </w:rPr>
        <w:t>.</w:t>
      </w:r>
      <w:r w:rsidR="00E70AF1" w:rsidRPr="00B87F18">
        <w:rPr>
          <w:rFonts w:ascii="Arial" w:hAnsi="Arial" w:cs="Arial"/>
        </w:rPr>
        <w:t>*</w:t>
      </w:r>
      <w:proofErr w:type="gramEnd"/>
      <w:r w:rsidRPr="00B87F18">
        <w:rPr>
          <w:rFonts w:ascii="Arial" w:hAnsi="Arial" w:cs="Arial"/>
        </w:rPr>
        <w:t xml:space="preserve">  GPs are </w:t>
      </w:r>
      <w:r w:rsidRPr="00B87F18">
        <w:rPr>
          <w:rFonts w:ascii="Arial" w:hAnsi="Arial" w:cs="Arial"/>
          <w:b/>
        </w:rPr>
        <w:t>invited</w:t>
      </w:r>
      <w:r w:rsidRPr="00B87F18">
        <w:rPr>
          <w:rFonts w:ascii="Arial" w:hAnsi="Arial" w:cs="Arial"/>
        </w:rPr>
        <w:t xml:space="preserve"> to participate.  If the GP is not confident to undertake these roles, then he or she is under no obligation to do so.  In such an event, the total clinical responsibility for the patient for the diagnosed condition remains with the specialist.  </w:t>
      </w:r>
      <w:r w:rsidRPr="00B87F18">
        <w:rPr>
          <w:rFonts w:ascii="Arial" w:hAnsi="Arial" w:cs="Arial"/>
          <w:b/>
        </w:rPr>
        <w:t xml:space="preserve">If a specialist asks the GP to prescribe this drug, the GP </w:t>
      </w:r>
      <w:r w:rsidRPr="00B87F18">
        <w:rPr>
          <w:rFonts w:ascii="Arial" w:hAnsi="Arial" w:cs="Arial"/>
          <w:b/>
          <w:snapToGrid w:val="0"/>
          <w:lang w:eastAsia="en-US"/>
        </w:rPr>
        <w:t>should reply to this request as soon as practicable.</w:t>
      </w:r>
    </w:p>
    <w:p w:rsidR="00F74849" w:rsidRPr="00B87F18" w:rsidRDefault="00F74849">
      <w:pPr>
        <w:pStyle w:val="mtrachead6"/>
        <w:tabs>
          <w:tab w:val="right" w:pos="360"/>
          <w:tab w:val="left" w:pos="540"/>
        </w:tabs>
        <w:jc w:val="both"/>
        <w:rPr>
          <w:rFonts w:ascii="Arial" w:hAnsi="Arial" w:cs="Arial"/>
          <w:i w:val="0"/>
          <w:sz w:val="16"/>
        </w:rPr>
      </w:pPr>
    </w:p>
    <w:p w:rsidR="00F74849" w:rsidRPr="00B87F18" w:rsidRDefault="00F74849">
      <w:pPr>
        <w:tabs>
          <w:tab w:val="right" w:pos="360"/>
          <w:tab w:val="left" w:pos="540"/>
        </w:tabs>
        <w:jc w:val="both"/>
        <w:rPr>
          <w:rFonts w:ascii="Arial" w:hAnsi="Arial" w:cs="Arial"/>
          <w:snapToGrid w:val="0"/>
          <w:lang w:eastAsia="en-US"/>
        </w:rPr>
      </w:pPr>
      <w:r w:rsidRPr="00B87F18">
        <w:rPr>
          <w:rFonts w:ascii="Arial" w:hAnsi="Arial" w:cs="Arial"/>
          <w:snapToGrid w:val="0"/>
          <w:lang w:eastAsia="en-US"/>
        </w:rPr>
        <w:t xml:space="preserve">Sharing of care assumes communication between the specialist, GP and patient.  The intention to share care is usually explained to the patient by the doctor initiating treatment.  It is important that patients are consulted about treatment and are in agreement with it.  </w:t>
      </w:r>
    </w:p>
    <w:p w:rsidR="00ED0DAA" w:rsidRPr="00B87F18" w:rsidRDefault="00ED0DAA">
      <w:pPr>
        <w:tabs>
          <w:tab w:val="right" w:pos="360"/>
          <w:tab w:val="left" w:pos="540"/>
        </w:tabs>
        <w:jc w:val="both"/>
        <w:rPr>
          <w:rFonts w:ascii="Arial" w:hAnsi="Arial" w:cs="Arial"/>
          <w:snapToGrid w:val="0"/>
          <w:sz w:val="16"/>
          <w:lang w:eastAsia="en-US"/>
        </w:rPr>
      </w:pPr>
    </w:p>
    <w:p w:rsidR="00F74849" w:rsidRPr="00B87F18" w:rsidRDefault="00F74849">
      <w:pPr>
        <w:pStyle w:val="mtrachead3"/>
        <w:keepNext w:val="0"/>
        <w:tabs>
          <w:tab w:val="right" w:pos="360"/>
          <w:tab w:val="left" w:pos="540"/>
        </w:tabs>
        <w:jc w:val="both"/>
        <w:outlineLvl w:val="9"/>
        <w:rPr>
          <w:rFonts w:ascii="Arial" w:hAnsi="Arial" w:cs="Arial"/>
        </w:rPr>
      </w:pPr>
      <w:r w:rsidRPr="00B87F18">
        <w:rPr>
          <w:rFonts w:ascii="Arial" w:hAnsi="Arial" w:cs="Arial"/>
        </w:rPr>
        <w:t>The doctor who prescribes the medication legally assumes clinical responsibility for the drug and the consequences of its use.</w:t>
      </w:r>
    </w:p>
    <w:p w:rsidR="00F74849" w:rsidRPr="00B87F18" w:rsidRDefault="00F74849" w:rsidP="006C73B1">
      <w:pPr>
        <w:tabs>
          <w:tab w:val="right" w:pos="360"/>
          <w:tab w:val="left" w:pos="540"/>
        </w:tabs>
        <w:jc w:val="both"/>
        <w:rPr>
          <w:rFonts w:ascii="Arial" w:hAnsi="Arial" w:cs="Arial"/>
          <w:snapToGrid w:val="0"/>
          <w:sz w:val="16"/>
          <w:lang w:eastAsia="en-US"/>
        </w:rPr>
      </w:pPr>
    </w:p>
    <w:p w:rsidR="00F74849" w:rsidRPr="00B87F18" w:rsidRDefault="00F74849" w:rsidP="006C73B1">
      <w:pPr>
        <w:tabs>
          <w:tab w:val="right" w:pos="360"/>
          <w:tab w:val="left" w:pos="540"/>
        </w:tabs>
        <w:jc w:val="both"/>
        <w:rPr>
          <w:rFonts w:ascii="Arial" w:hAnsi="Arial" w:cs="Arial"/>
          <w:snapToGrid w:val="0"/>
          <w:sz w:val="16"/>
          <w:lang w:eastAsia="en-US"/>
        </w:rPr>
      </w:pPr>
    </w:p>
    <w:p w:rsidR="00F74849" w:rsidRPr="00B87F18" w:rsidRDefault="00F74849">
      <w:pPr>
        <w:tabs>
          <w:tab w:val="right" w:pos="360"/>
          <w:tab w:val="left" w:pos="540"/>
        </w:tabs>
        <w:jc w:val="both"/>
        <w:rPr>
          <w:rFonts w:ascii="Arial" w:hAnsi="Arial" w:cs="Arial"/>
          <w:b/>
          <w:snapToGrid w:val="0"/>
          <w:lang w:eastAsia="en-US"/>
        </w:rPr>
      </w:pPr>
      <w:r w:rsidRPr="00B87F18">
        <w:rPr>
          <w:rFonts w:ascii="Arial" w:hAnsi="Arial" w:cs="Arial"/>
          <w:b/>
          <w:snapToGrid w:val="0"/>
          <w:lang w:eastAsia="en-US"/>
        </w:rPr>
        <w:t>RESPONSIBILITIES and ROLES</w:t>
      </w:r>
    </w:p>
    <w:p w:rsidR="00F74849" w:rsidRPr="00B87F18" w:rsidRDefault="00F74849">
      <w:pPr>
        <w:pStyle w:val="Footer"/>
        <w:tabs>
          <w:tab w:val="clear" w:pos="4153"/>
          <w:tab w:val="clear" w:pos="8306"/>
          <w:tab w:val="right" w:pos="360"/>
          <w:tab w:val="left" w:pos="540"/>
        </w:tabs>
        <w:jc w:val="both"/>
        <w:rPr>
          <w:rFonts w:ascii="Arial" w:hAnsi="Arial" w:cs="Arial"/>
          <w:snapToGrid w:val="0"/>
          <w:sz w:val="8"/>
          <w:lang w:eastAsia="en-US"/>
        </w:rPr>
      </w:pPr>
    </w:p>
    <w:tbl>
      <w:tblPr>
        <w:tblW w:w="102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69"/>
      </w:tblGrid>
      <w:tr w:rsidR="00F74849" w:rsidRPr="00B87F18" w:rsidTr="00B772BA">
        <w:tc>
          <w:tcPr>
            <w:tcW w:w="10269" w:type="dxa"/>
            <w:tcBorders>
              <w:bottom w:val="single" w:sz="4" w:space="0" w:color="auto"/>
            </w:tcBorders>
          </w:tcPr>
          <w:p w:rsidR="00F74849" w:rsidRPr="00B87F18" w:rsidRDefault="00F74849">
            <w:pPr>
              <w:tabs>
                <w:tab w:val="left" w:pos="540"/>
              </w:tabs>
              <w:spacing w:before="40" w:after="40"/>
              <w:jc w:val="center"/>
              <w:rPr>
                <w:rFonts w:ascii="Arial" w:hAnsi="Arial" w:cs="Arial"/>
                <w:b/>
                <w:snapToGrid w:val="0"/>
                <w:lang w:eastAsia="en-US"/>
              </w:rPr>
            </w:pPr>
            <w:r w:rsidRPr="00B87F18">
              <w:rPr>
                <w:rFonts w:ascii="Arial" w:hAnsi="Arial" w:cs="Arial"/>
                <w:b/>
                <w:snapToGrid w:val="0"/>
                <w:lang w:eastAsia="en-US"/>
              </w:rPr>
              <w:t>Specialist responsibilities</w:t>
            </w:r>
          </w:p>
        </w:tc>
      </w:tr>
      <w:tr w:rsidR="00F74849" w:rsidRPr="00B87F18" w:rsidTr="00B772BA">
        <w:trPr>
          <w:trHeight w:val="240"/>
        </w:trPr>
        <w:tc>
          <w:tcPr>
            <w:tcW w:w="10269" w:type="dxa"/>
            <w:tcBorders>
              <w:top w:val="nil"/>
              <w:left w:val="single" w:sz="4" w:space="0" w:color="auto"/>
              <w:bottom w:val="nil"/>
              <w:right w:val="single" w:sz="4" w:space="0" w:color="auto"/>
            </w:tcBorders>
          </w:tcPr>
          <w:p w:rsidR="00F74849" w:rsidRPr="00B87F18" w:rsidRDefault="0093476F" w:rsidP="009C08A4">
            <w:pPr>
              <w:numPr>
                <w:ilvl w:val="0"/>
                <w:numId w:val="22"/>
              </w:numPr>
              <w:tabs>
                <w:tab w:val="left" w:pos="540"/>
              </w:tabs>
              <w:jc w:val="both"/>
              <w:rPr>
                <w:rFonts w:ascii="Arial" w:hAnsi="Arial" w:cs="Arial"/>
                <w:snapToGrid w:val="0"/>
                <w:lang w:eastAsia="en-US"/>
              </w:rPr>
            </w:pPr>
            <w:r>
              <w:rPr>
                <w:rFonts w:ascii="Arial" w:hAnsi="Arial" w:cs="Arial"/>
                <w:snapToGrid w:val="0"/>
                <w:lang w:eastAsia="en-US"/>
              </w:rPr>
              <w:t>Initiation of rifaximin and follow-up to confirm there is an a</w:t>
            </w:r>
            <w:r w:rsidR="009C08A4">
              <w:rPr>
                <w:rFonts w:ascii="Arial" w:hAnsi="Arial" w:cs="Arial"/>
                <w:snapToGrid w:val="0"/>
                <w:lang w:eastAsia="en-US"/>
              </w:rPr>
              <w:t xml:space="preserve">dequate response to treatment. </w:t>
            </w:r>
            <w:r>
              <w:rPr>
                <w:rFonts w:ascii="Arial" w:hAnsi="Arial" w:cs="Arial"/>
                <w:snapToGrid w:val="0"/>
                <w:lang w:eastAsia="en-US"/>
              </w:rPr>
              <w:t>(</w:t>
            </w:r>
            <w:proofErr w:type="gramStart"/>
            <w:r w:rsidRPr="0093476F">
              <w:rPr>
                <w:rFonts w:ascii="Arial" w:hAnsi="Arial" w:cs="Arial"/>
                <w:i/>
                <w:snapToGrid w:val="0"/>
                <w:lang w:eastAsia="en-US"/>
              </w:rPr>
              <w:t>length</w:t>
            </w:r>
            <w:proofErr w:type="gramEnd"/>
            <w:r w:rsidRPr="0093476F">
              <w:rPr>
                <w:rFonts w:ascii="Arial" w:hAnsi="Arial" w:cs="Arial"/>
                <w:i/>
                <w:snapToGrid w:val="0"/>
                <w:lang w:eastAsia="en-US"/>
              </w:rPr>
              <w:t xml:space="preserve"> of this assessment period </w:t>
            </w:r>
            <w:r w:rsidR="009C08A4">
              <w:rPr>
                <w:rFonts w:ascii="Arial" w:hAnsi="Arial" w:cs="Arial"/>
                <w:i/>
                <w:snapToGrid w:val="0"/>
                <w:lang w:eastAsia="en-US"/>
              </w:rPr>
              <w:t xml:space="preserve">to be defined </w:t>
            </w:r>
            <w:r w:rsidRPr="0093476F">
              <w:rPr>
                <w:rFonts w:ascii="Arial" w:hAnsi="Arial" w:cs="Arial"/>
                <w:i/>
                <w:snapToGrid w:val="0"/>
                <w:lang w:eastAsia="en-US"/>
              </w:rPr>
              <w:t>locally</w:t>
            </w:r>
            <w:r w:rsidR="00A776EA">
              <w:rPr>
                <w:rFonts w:ascii="Arial" w:hAnsi="Arial" w:cs="Arial"/>
                <w:i/>
                <w:snapToGrid w:val="0"/>
                <w:lang w:eastAsia="en-US"/>
              </w:rPr>
              <w:t>, but suggest at least 3 months</w:t>
            </w:r>
            <w:r>
              <w:rPr>
                <w:rFonts w:ascii="Arial" w:hAnsi="Arial" w:cs="Arial"/>
                <w:snapToGrid w:val="0"/>
                <w:lang w:eastAsia="en-US"/>
              </w:rPr>
              <w:t xml:space="preserve">)  </w:t>
            </w:r>
          </w:p>
        </w:tc>
      </w:tr>
      <w:tr w:rsidR="00F74849" w:rsidRPr="00B87F18" w:rsidTr="00B772BA">
        <w:trPr>
          <w:trHeight w:val="240"/>
        </w:trPr>
        <w:tc>
          <w:tcPr>
            <w:tcW w:w="10269" w:type="dxa"/>
            <w:tcBorders>
              <w:top w:val="nil"/>
              <w:bottom w:val="nil"/>
              <w:right w:val="single" w:sz="4" w:space="0" w:color="auto"/>
            </w:tcBorders>
          </w:tcPr>
          <w:p w:rsidR="00F74849" w:rsidRPr="00B87F18" w:rsidRDefault="00F74849">
            <w:pPr>
              <w:numPr>
                <w:ilvl w:val="0"/>
                <w:numId w:val="22"/>
              </w:numPr>
              <w:tabs>
                <w:tab w:val="left" w:pos="540"/>
              </w:tabs>
              <w:jc w:val="both"/>
              <w:rPr>
                <w:rFonts w:ascii="Arial" w:hAnsi="Arial" w:cs="Arial"/>
                <w:snapToGrid w:val="0"/>
                <w:lang w:eastAsia="en-US"/>
              </w:rPr>
            </w:pPr>
            <w:r w:rsidRPr="00B87F18">
              <w:rPr>
                <w:rFonts w:ascii="Arial" w:hAnsi="Arial" w:cs="Arial"/>
                <w:snapToGrid w:val="0"/>
                <w:lang w:eastAsia="en-US"/>
              </w:rPr>
              <w:t>Discuss the benefits and side effects of treatment with the patient.</w:t>
            </w:r>
          </w:p>
        </w:tc>
      </w:tr>
      <w:tr w:rsidR="00F74849" w:rsidRPr="00B87F18" w:rsidTr="00B772BA">
        <w:trPr>
          <w:trHeight w:val="240"/>
        </w:trPr>
        <w:tc>
          <w:tcPr>
            <w:tcW w:w="10269" w:type="dxa"/>
            <w:tcBorders>
              <w:top w:val="nil"/>
              <w:bottom w:val="nil"/>
              <w:right w:val="single" w:sz="4" w:space="0" w:color="auto"/>
            </w:tcBorders>
          </w:tcPr>
          <w:p w:rsidR="00F74849" w:rsidRPr="00B87F18" w:rsidRDefault="00F74849" w:rsidP="00D2678E">
            <w:pPr>
              <w:numPr>
                <w:ilvl w:val="0"/>
                <w:numId w:val="22"/>
              </w:numPr>
              <w:tabs>
                <w:tab w:val="left" w:pos="540"/>
              </w:tabs>
              <w:jc w:val="both"/>
              <w:rPr>
                <w:rFonts w:ascii="Arial" w:hAnsi="Arial" w:cs="Arial"/>
                <w:snapToGrid w:val="0"/>
                <w:lang w:eastAsia="en-US"/>
              </w:rPr>
            </w:pPr>
            <w:r w:rsidRPr="00B87F18">
              <w:rPr>
                <w:rFonts w:ascii="Arial" w:hAnsi="Arial" w:cs="Arial"/>
                <w:snapToGrid w:val="0"/>
                <w:lang w:eastAsia="en-US"/>
              </w:rPr>
              <w:t>Ask the GP whether he or she is willing to participate in shared care</w:t>
            </w:r>
            <w:r w:rsidR="00D2678E">
              <w:rPr>
                <w:rFonts w:ascii="Arial" w:hAnsi="Arial" w:cs="Arial"/>
                <w:snapToGrid w:val="0"/>
                <w:lang w:eastAsia="en-US"/>
              </w:rPr>
              <w:t xml:space="preserve">.  If the GP agrees to participate, </w:t>
            </w:r>
            <w:r w:rsidRPr="00B87F18">
              <w:rPr>
                <w:rFonts w:ascii="Arial" w:hAnsi="Arial" w:cs="Arial"/>
                <w:snapToGrid w:val="0"/>
                <w:lang w:eastAsia="en-US"/>
              </w:rPr>
              <w:t>discuss the shared care arrangement with the patient.</w:t>
            </w:r>
          </w:p>
        </w:tc>
      </w:tr>
      <w:tr w:rsidR="0052574C" w:rsidRPr="00B87F18" w:rsidTr="00B772BA">
        <w:trPr>
          <w:trHeight w:val="240"/>
        </w:trPr>
        <w:tc>
          <w:tcPr>
            <w:tcW w:w="10269" w:type="dxa"/>
            <w:tcBorders>
              <w:top w:val="nil"/>
              <w:bottom w:val="nil"/>
              <w:right w:val="single" w:sz="4" w:space="0" w:color="auto"/>
            </w:tcBorders>
          </w:tcPr>
          <w:p w:rsidR="0052574C" w:rsidRPr="00B87F18" w:rsidRDefault="0052574C">
            <w:pPr>
              <w:numPr>
                <w:ilvl w:val="0"/>
                <w:numId w:val="22"/>
              </w:numPr>
              <w:tabs>
                <w:tab w:val="left" w:pos="540"/>
              </w:tabs>
              <w:jc w:val="both"/>
              <w:rPr>
                <w:rFonts w:ascii="Arial" w:hAnsi="Arial" w:cs="Arial"/>
                <w:snapToGrid w:val="0"/>
                <w:lang w:eastAsia="en-US"/>
              </w:rPr>
            </w:pPr>
            <w:r w:rsidRPr="00B87F18">
              <w:rPr>
                <w:rFonts w:ascii="Arial" w:hAnsi="Arial" w:cs="Arial"/>
                <w:snapToGrid w:val="0"/>
                <w:lang w:eastAsia="en-US"/>
              </w:rPr>
              <w:t xml:space="preserve">Regular follow-up of patient.  </w:t>
            </w:r>
          </w:p>
        </w:tc>
      </w:tr>
      <w:tr w:rsidR="00F74849" w:rsidRPr="00B87F18" w:rsidTr="00B772BA">
        <w:trPr>
          <w:trHeight w:val="240"/>
        </w:trPr>
        <w:tc>
          <w:tcPr>
            <w:tcW w:w="10269" w:type="dxa"/>
            <w:tcBorders>
              <w:top w:val="nil"/>
              <w:bottom w:val="nil"/>
              <w:right w:val="single" w:sz="4" w:space="0" w:color="auto"/>
            </w:tcBorders>
          </w:tcPr>
          <w:p w:rsidR="00F74849" w:rsidRPr="00B87F18" w:rsidRDefault="00F74849">
            <w:pPr>
              <w:numPr>
                <w:ilvl w:val="0"/>
                <w:numId w:val="22"/>
              </w:numPr>
              <w:tabs>
                <w:tab w:val="left" w:pos="540"/>
              </w:tabs>
              <w:jc w:val="both"/>
              <w:rPr>
                <w:rFonts w:ascii="Arial" w:hAnsi="Arial" w:cs="Arial"/>
                <w:snapToGrid w:val="0"/>
                <w:lang w:eastAsia="en-US"/>
              </w:rPr>
            </w:pPr>
            <w:r w:rsidRPr="00B87F18">
              <w:rPr>
                <w:rFonts w:ascii="Arial" w:hAnsi="Arial" w:cs="Arial"/>
                <w:snapToGrid w:val="0"/>
                <w:lang w:eastAsia="en-US"/>
              </w:rPr>
              <w:t>Communicate promptly with the GP when treatment is changed.</w:t>
            </w:r>
          </w:p>
        </w:tc>
      </w:tr>
      <w:tr w:rsidR="00F74849" w:rsidRPr="00B87F18" w:rsidTr="00B772BA">
        <w:trPr>
          <w:trHeight w:val="240"/>
        </w:trPr>
        <w:tc>
          <w:tcPr>
            <w:tcW w:w="10269" w:type="dxa"/>
            <w:tcBorders>
              <w:top w:val="nil"/>
              <w:bottom w:val="nil"/>
              <w:right w:val="single" w:sz="4" w:space="0" w:color="auto"/>
            </w:tcBorders>
          </w:tcPr>
          <w:p w:rsidR="00F74849" w:rsidRPr="00B87F18" w:rsidRDefault="00F74849">
            <w:pPr>
              <w:numPr>
                <w:ilvl w:val="0"/>
                <w:numId w:val="22"/>
              </w:numPr>
              <w:tabs>
                <w:tab w:val="left" w:pos="540"/>
              </w:tabs>
              <w:jc w:val="both"/>
              <w:rPr>
                <w:rFonts w:ascii="Arial" w:hAnsi="Arial" w:cs="Arial"/>
                <w:snapToGrid w:val="0"/>
                <w:lang w:eastAsia="en-US"/>
              </w:rPr>
            </w:pPr>
            <w:r w:rsidRPr="00B87F18">
              <w:rPr>
                <w:rFonts w:ascii="Arial" w:hAnsi="Arial" w:cs="Arial"/>
              </w:rPr>
              <w:t>Have a mechanism in place to receive rapid referral of a patient from the GP in the event of deteriorating clinical condition.</w:t>
            </w:r>
          </w:p>
        </w:tc>
      </w:tr>
      <w:tr w:rsidR="00F74849" w:rsidRPr="00B87F18" w:rsidTr="00B772BA">
        <w:trPr>
          <w:trHeight w:val="240"/>
        </w:trPr>
        <w:tc>
          <w:tcPr>
            <w:tcW w:w="10269" w:type="dxa"/>
            <w:tcBorders>
              <w:top w:val="nil"/>
              <w:bottom w:val="nil"/>
              <w:right w:val="single" w:sz="4" w:space="0" w:color="auto"/>
            </w:tcBorders>
          </w:tcPr>
          <w:p w:rsidR="00F74849" w:rsidRPr="00B87F18" w:rsidRDefault="0052574C">
            <w:pPr>
              <w:numPr>
                <w:ilvl w:val="0"/>
                <w:numId w:val="22"/>
              </w:numPr>
              <w:tabs>
                <w:tab w:val="left" w:pos="540"/>
              </w:tabs>
              <w:jc w:val="both"/>
              <w:rPr>
                <w:rFonts w:ascii="Arial" w:hAnsi="Arial" w:cs="Arial"/>
              </w:rPr>
            </w:pPr>
            <w:r w:rsidRPr="00B87F18">
              <w:rPr>
                <w:rFonts w:ascii="Arial" w:hAnsi="Arial" w:cs="Arial"/>
              </w:rPr>
              <w:t>Advi</w:t>
            </w:r>
            <w:r w:rsidR="00D06117" w:rsidRPr="00B87F18">
              <w:rPr>
                <w:rFonts w:ascii="Arial" w:hAnsi="Arial" w:cs="Arial"/>
              </w:rPr>
              <w:t>se</w:t>
            </w:r>
            <w:r w:rsidRPr="00B87F18">
              <w:rPr>
                <w:rFonts w:ascii="Arial" w:hAnsi="Arial" w:cs="Arial"/>
              </w:rPr>
              <w:t xml:space="preserve"> GP on dosage adjustment and when and how to stop treatment.</w:t>
            </w:r>
          </w:p>
        </w:tc>
      </w:tr>
      <w:tr w:rsidR="00F74849" w:rsidRPr="00B87F18" w:rsidTr="00B772BA">
        <w:trPr>
          <w:trHeight w:val="240"/>
        </w:trPr>
        <w:tc>
          <w:tcPr>
            <w:tcW w:w="10269" w:type="dxa"/>
            <w:tcBorders>
              <w:top w:val="nil"/>
              <w:bottom w:val="nil"/>
              <w:right w:val="single" w:sz="4" w:space="0" w:color="auto"/>
            </w:tcBorders>
          </w:tcPr>
          <w:p w:rsidR="00F74849" w:rsidRPr="00B87F18" w:rsidRDefault="00F74849">
            <w:pPr>
              <w:numPr>
                <w:ilvl w:val="0"/>
                <w:numId w:val="22"/>
              </w:numPr>
              <w:tabs>
                <w:tab w:val="left" w:pos="540"/>
              </w:tabs>
              <w:jc w:val="both"/>
              <w:rPr>
                <w:rFonts w:ascii="Arial" w:hAnsi="Arial" w:cs="Arial"/>
              </w:rPr>
            </w:pPr>
            <w:r w:rsidRPr="00B87F18">
              <w:rPr>
                <w:rFonts w:ascii="Arial" w:hAnsi="Arial" w:cs="Arial"/>
                <w:snapToGrid w:val="0"/>
                <w:lang w:eastAsia="en-US"/>
              </w:rPr>
              <w:t xml:space="preserve">Report adverse events to the </w:t>
            </w:r>
            <w:hyperlink r:id="rId8" w:history="1">
              <w:r w:rsidR="004736AF" w:rsidRPr="00CB276E">
                <w:rPr>
                  <w:rStyle w:val="Hyperlink"/>
                  <w:rFonts w:ascii="Arial" w:hAnsi="Arial" w:cs="Arial"/>
                  <w:snapToGrid w:val="0"/>
                  <w:lang w:eastAsia="en-US"/>
                </w:rPr>
                <w:t>Medicines and Healthcare Products Regulatory Agency (MHRA</w:t>
              </w:r>
            </w:hyperlink>
            <w:r w:rsidR="004736AF">
              <w:rPr>
                <w:rFonts w:ascii="Arial" w:hAnsi="Arial" w:cs="Arial"/>
                <w:snapToGrid w:val="0"/>
                <w:lang w:eastAsia="en-US"/>
              </w:rPr>
              <w:t>).</w:t>
            </w:r>
          </w:p>
        </w:tc>
      </w:tr>
      <w:tr w:rsidR="00F74849" w:rsidRPr="00B87F18" w:rsidTr="00B772BA">
        <w:trPr>
          <w:trHeight w:val="240"/>
        </w:trPr>
        <w:tc>
          <w:tcPr>
            <w:tcW w:w="10269" w:type="dxa"/>
            <w:tcBorders>
              <w:top w:val="nil"/>
              <w:right w:val="single" w:sz="4" w:space="0" w:color="auto"/>
            </w:tcBorders>
          </w:tcPr>
          <w:p w:rsidR="00F74849" w:rsidRPr="00B87F18" w:rsidRDefault="00F74849">
            <w:pPr>
              <w:numPr>
                <w:ilvl w:val="0"/>
                <w:numId w:val="22"/>
              </w:numPr>
              <w:tabs>
                <w:tab w:val="left" w:pos="540"/>
              </w:tabs>
              <w:jc w:val="both"/>
              <w:rPr>
                <w:rFonts w:ascii="Arial" w:hAnsi="Arial" w:cs="Arial"/>
              </w:rPr>
            </w:pPr>
            <w:r w:rsidRPr="00B87F18">
              <w:rPr>
                <w:rFonts w:ascii="Arial" w:hAnsi="Arial" w:cs="Arial"/>
                <w:snapToGrid w:val="0"/>
                <w:lang w:eastAsia="en-US"/>
              </w:rPr>
              <w:t>Ensure that clear backup arrangements exist for GPs to obtain advice and support.</w:t>
            </w:r>
          </w:p>
        </w:tc>
      </w:tr>
    </w:tbl>
    <w:p w:rsidR="00542FD6" w:rsidRPr="00B87F18" w:rsidRDefault="00542FD6">
      <w:pPr>
        <w:tabs>
          <w:tab w:val="right" w:pos="360"/>
          <w:tab w:val="left" w:pos="540"/>
        </w:tabs>
        <w:jc w:val="both"/>
        <w:rPr>
          <w:rFonts w:ascii="Arial" w:hAnsi="Arial" w:cs="Arial"/>
          <w:snapToGrid w:val="0"/>
          <w:sz w:val="14"/>
          <w:szCs w:val="14"/>
          <w:lang w:eastAsia="en-US"/>
        </w:rPr>
      </w:pPr>
    </w:p>
    <w:tbl>
      <w:tblPr>
        <w:tblW w:w="102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69"/>
      </w:tblGrid>
      <w:tr w:rsidR="00F74849" w:rsidRPr="00B87F18">
        <w:tc>
          <w:tcPr>
            <w:tcW w:w="10269" w:type="dxa"/>
            <w:tcBorders>
              <w:bottom w:val="single" w:sz="4" w:space="0" w:color="auto"/>
            </w:tcBorders>
          </w:tcPr>
          <w:p w:rsidR="00F74849" w:rsidRPr="00B87F18" w:rsidRDefault="00F74849">
            <w:pPr>
              <w:tabs>
                <w:tab w:val="left" w:pos="540"/>
              </w:tabs>
              <w:spacing w:before="40" w:after="40"/>
              <w:jc w:val="center"/>
              <w:rPr>
                <w:rFonts w:ascii="Arial" w:hAnsi="Arial" w:cs="Arial"/>
                <w:b/>
                <w:snapToGrid w:val="0"/>
                <w:lang w:eastAsia="en-US"/>
              </w:rPr>
            </w:pPr>
            <w:r w:rsidRPr="00B87F18">
              <w:rPr>
                <w:rFonts w:ascii="Arial" w:hAnsi="Arial" w:cs="Arial"/>
                <w:b/>
              </w:rPr>
              <w:t>General Practitioner r</w:t>
            </w:r>
            <w:r w:rsidRPr="00B87F18">
              <w:rPr>
                <w:rFonts w:ascii="Arial" w:hAnsi="Arial" w:cs="Arial"/>
                <w:b/>
                <w:snapToGrid w:val="0"/>
                <w:lang w:eastAsia="en-US"/>
              </w:rPr>
              <w:t>esponsibilities</w:t>
            </w:r>
          </w:p>
        </w:tc>
      </w:tr>
      <w:tr w:rsidR="00F74849" w:rsidRPr="00B87F18">
        <w:trPr>
          <w:trHeight w:val="240"/>
        </w:trPr>
        <w:tc>
          <w:tcPr>
            <w:tcW w:w="10269" w:type="dxa"/>
            <w:tcBorders>
              <w:top w:val="nil"/>
              <w:left w:val="single" w:sz="4" w:space="0" w:color="auto"/>
              <w:bottom w:val="nil"/>
              <w:right w:val="single" w:sz="4" w:space="0" w:color="auto"/>
            </w:tcBorders>
          </w:tcPr>
          <w:p w:rsidR="00F74849" w:rsidRPr="00B87F18" w:rsidRDefault="00F74849">
            <w:pPr>
              <w:numPr>
                <w:ilvl w:val="0"/>
                <w:numId w:val="23"/>
              </w:numPr>
              <w:tabs>
                <w:tab w:val="left" w:pos="540"/>
              </w:tabs>
              <w:jc w:val="both"/>
              <w:rPr>
                <w:rFonts w:ascii="Arial" w:hAnsi="Arial" w:cs="Arial"/>
                <w:snapToGrid w:val="0"/>
                <w:lang w:eastAsia="en-US"/>
              </w:rPr>
            </w:pPr>
            <w:r w:rsidRPr="00B87F18">
              <w:rPr>
                <w:rFonts w:ascii="Arial" w:hAnsi="Arial" w:cs="Arial"/>
                <w:snapToGrid w:val="0"/>
                <w:lang w:eastAsia="en-US"/>
              </w:rPr>
              <w:t>Reply to the request for shared care as soon as practicable.</w:t>
            </w:r>
          </w:p>
        </w:tc>
      </w:tr>
      <w:tr w:rsidR="00F74849" w:rsidRPr="00B87F18">
        <w:trPr>
          <w:trHeight w:val="240"/>
        </w:trPr>
        <w:tc>
          <w:tcPr>
            <w:tcW w:w="10269" w:type="dxa"/>
            <w:tcBorders>
              <w:top w:val="nil"/>
              <w:left w:val="single" w:sz="4" w:space="0" w:color="auto"/>
              <w:bottom w:val="nil"/>
              <w:right w:val="single" w:sz="4" w:space="0" w:color="auto"/>
            </w:tcBorders>
          </w:tcPr>
          <w:p w:rsidR="0052574C" w:rsidRPr="00B87F18" w:rsidRDefault="00F74849" w:rsidP="00BE2395">
            <w:pPr>
              <w:numPr>
                <w:ilvl w:val="0"/>
                <w:numId w:val="23"/>
              </w:numPr>
              <w:tabs>
                <w:tab w:val="left" w:pos="540"/>
              </w:tabs>
              <w:jc w:val="both"/>
              <w:rPr>
                <w:rFonts w:ascii="Arial" w:hAnsi="Arial" w:cs="Arial"/>
                <w:snapToGrid w:val="0"/>
                <w:lang w:eastAsia="en-US"/>
              </w:rPr>
            </w:pPr>
            <w:r w:rsidRPr="00B87F18">
              <w:rPr>
                <w:rFonts w:ascii="Arial" w:hAnsi="Arial" w:cs="Arial"/>
                <w:snapToGrid w:val="0"/>
                <w:lang w:eastAsia="en-US"/>
              </w:rPr>
              <w:t xml:space="preserve">Prescribe </w:t>
            </w:r>
            <w:r w:rsidR="00BE2395">
              <w:rPr>
                <w:rFonts w:ascii="Arial" w:hAnsi="Arial" w:cs="Arial"/>
                <w:snapToGrid w:val="0"/>
                <w:lang w:eastAsia="en-US"/>
              </w:rPr>
              <w:t>rifaximin</w:t>
            </w:r>
            <w:r w:rsidRPr="00B87F18">
              <w:rPr>
                <w:rFonts w:ascii="Arial" w:hAnsi="Arial" w:cs="Arial"/>
                <w:snapToGrid w:val="0"/>
                <w:lang w:eastAsia="en-US"/>
              </w:rPr>
              <w:t xml:space="preserve"> at the dose recommended.</w:t>
            </w:r>
          </w:p>
        </w:tc>
      </w:tr>
      <w:tr w:rsidR="00F74849" w:rsidRPr="00B87F18">
        <w:trPr>
          <w:trHeight w:val="240"/>
        </w:trPr>
        <w:tc>
          <w:tcPr>
            <w:tcW w:w="10269" w:type="dxa"/>
            <w:tcBorders>
              <w:top w:val="nil"/>
              <w:left w:val="single" w:sz="4" w:space="0" w:color="auto"/>
              <w:bottom w:val="nil"/>
              <w:right w:val="single" w:sz="4" w:space="0" w:color="auto"/>
            </w:tcBorders>
          </w:tcPr>
          <w:p w:rsidR="00F74849" w:rsidRPr="00B87F18" w:rsidRDefault="00F74849">
            <w:pPr>
              <w:numPr>
                <w:ilvl w:val="0"/>
                <w:numId w:val="23"/>
              </w:numPr>
              <w:tabs>
                <w:tab w:val="left" w:pos="540"/>
              </w:tabs>
              <w:jc w:val="both"/>
              <w:rPr>
                <w:rFonts w:ascii="Arial" w:hAnsi="Arial" w:cs="Arial"/>
                <w:snapToGrid w:val="0"/>
                <w:lang w:eastAsia="en-US"/>
              </w:rPr>
            </w:pPr>
            <w:r w:rsidRPr="00B87F18">
              <w:rPr>
                <w:rFonts w:ascii="Arial" w:hAnsi="Arial" w:cs="Arial"/>
                <w:snapToGrid w:val="0"/>
                <w:lang w:eastAsia="en-US"/>
              </w:rPr>
              <w:t>Adjust the dose as advised by the specialist.</w:t>
            </w:r>
          </w:p>
        </w:tc>
      </w:tr>
      <w:tr w:rsidR="00F74849" w:rsidRPr="00B87F18">
        <w:trPr>
          <w:trHeight w:val="240"/>
        </w:trPr>
        <w:tc>
          <w:tcPr>
            <w:tcW w:w="10269" w:type="dxa"/>
            <w:tcBorders>
              <w:top w:val="nil"/>
              <w:left w:val="single" w:sz="4" w:space="0" w:color="auto"/>
              <w:bottom w:val="nil"/>
              <w:right w:val="single" w:sz="4" w:space="0" w:color="auto"/>
            </w:tcBorders>
          </w:tcPr>
          <w:p w:rsidR="00F74849" w:rsidRPr="00B87F18" w:rsidRDefault="00F74849">
            <w:pPr>
              <w:numPr>
                <w:ilvl w:val="0"/>
                <w:numId w:val="23"/>
              </w:numPr>
              <w:tabs>
                <w:tab w:val="left" w:pos="540"/>
              </w:tabs>
              <w:jc w:val="both"/>
              <w:rPr>
                <w:rFonts w:ascii="Arial" w:hAnsi="Arial" w:cs="Arial"/>
                <w:snapToGrid w:val="0"/>
                <w:lang w:eastAsia="en-US"/>
              </w:rPr>
            </w:pPr>
            <w:r w:rsidRPr="00B87F18">
              <w:rPr>
                <w:rFonts w:ascii="Arial" w:hAnsi="Arial" w:cs="Arial"/>
                <w:snapToGrid w:val="0"/>
                <w:lang w:eastAsia="en-US"/>
              </w:rPr>
              <w:t>Report to and seek advice from the specialist on any aspect of patient care that is of concern and may affect treatment.</w:t>
            </w:r>
          </w:p>
        </w:tc>
      </w:tr>
      <w:tr w:rsidR="00F74849" w:rsidRPr="00B87F18">
        <w:trPr>
          <w:trHeight w:val="240"/>
        </w:trPr>
        <w:tc>
          <w:tcPr>
            <w:tcW w:w="10269" w:type="dxa"/>
            <w:tcBorders>
              <w:top w:val="nil"/>
              <w:left w:val="single" w:sz="4" w:space="0" w:color="auto"/>
              <w:bottom w:val="nil"/>
              <w:right w:val="single" w:sz="4" w:space="0" w:color="auto"/>
            </w:tcBorders>
          </w:tcPr>
          <w:p w:rsidR="00F74849" w:rsidRPr="00B87F18" w:rsidRDefault="00F74849">
            <w:pPr>
              <w:numPr>
                <w:ilvl w:val="0"/>
                <w:numId w:val="23"/>
              </w:numPr>
              <w:tabs>
                <w:tab w:val="left" w:pos="540"/>
              </w:tabs>
              <w:jc w:val="both"/>
              <w:rPr>
                <w:rFonts w:ascii="Arial" w:hAnsi="Arial" w:cs="Arial"/>
                <w:snapToGrid w:val="0"/>
                <w:lang w:eastAsia="en-US"/>
              </w:rPr>
            </w:pPr>
            <w:r w:rsidRPr="00B87F18">
              <w:rPr>
                <w:rFonts w:ascii="Arial" w:hAnsi="Arial" w:cs="Arial"/>
                <w:snapToGrid w:val="0"/>
                <w:lang w:eastAsia="en-US"/>
              </w:rPr>
              <w:t>Refer patient to the specialist if his or her condition deteriorates.</w:t>
            </w:r>
          </w:p>
        </w:tc>
      </w:tr>
      <w:tr w:rsidR="006C73B1" w:rsidRPr="00B87F18">
        <w:trPr>
          <w:trHeight w:val="240"/>
        </w:trPr>
        <w:tc>
          <w:tcPr>
            <w:tcW w:w="10269" w:type="dxa"/>
            <w:tcBorders>
              <w:top w:val="nil"/>
              <w:left w:val="single" w:sz="4" w:space="0" w:color="auto"/>
              <w:bottom w:val="nil"/>
              <w:right w:val="single" w:sz="4" w:space="0" w:color="auto"/>
            </w:tcBorders>
          </w:tcPr>
          <w:p w:rsidR="006C73B1" w:rsidRPr="00B87F18" w:rsidRDefault="00B772BA">
            <w:pPr>
              <w:numPr>
                <w:ilvl w:val="0"/>
                <w:numId w:val="23"/>
              </w:numPr>
              <w:tabs>
                <w:tab w:val="left" w:pos="540"/>
              </w:tabs>
              <w:jc w:val="both"/>
              <w:rPr>
                <w:rFonts w:ascii="Arial" w:hAnsi="Arial" w:cs="Arial"/>
                <w:snapToGrid w:val="0"/>
                <w:lang w:eastAsia="en-US"/>
              </w:rPr>
            </w:pPr>
            <w:r w:rsidRPr="00B87F18">
              <w:rPr>
                <w:rFonts w:ascii="Arial" w:hAnsi="Arial" w:cs="Arial"/>
                <w:snapToGrid w:val="0"/>
                <w:lang w:eastAsia="en-US"/>
              </w:rPr>
              <w:t>Stop treatment on the advice of the specialist or initiate tapered withdrawal if advised to do so.</w:t>
            </w:r>
          </w:p>
        </w:tc>
      </w:tr>
      <w:tr w:rsidR="00F74849" w:rsidRPr="00B87F18">
        <w:trPr>
          <w:trHeight w:val="240"/>
        </w:trPr>
        <w:tc>
          <w:tcPr>
            <w:tcW w:w="10269" w:type="dxa"/>
            <w:tcBorders>
              <w:top w:val="nil"/>
              <w:left w:val="single" w:sz="4" w:space="0" w:color="auto"/>
              <w:bottom w:val="single" w:sz="4" w:space="0" w:color="auto"/>
              <w:right w:val="single" w:sz="4" w:space="0" w:color="auto"/>
            </w:tcBorders>
          </w:tcPr>
          <w:p w:rsidR="00F74849" w:rsidRPr="00B87F18" w:rsidRDefault="00F74849" w:rsidP="004736AF">
            <w:pPr>
              <w:numPr>
                <w:ilvl w:val="0"/>
                <w:numId w:val="23"/>
              </w:numPr>
              <w:tabs>
                <w:tab w:val="left" w:pos="540"/>
              </w:tabs>
              <w:jc w:val="both"/>
              <w:rPr>
                <w:rFonts w:ascii="Arial" w:hAnsi="Arial" w:cs="Arial"/>
                <w:snapToGrid w:val="0"/>
                <w:lang w:eastAsia="en-US"/>
              </w:rPr>
            </w:pPr>
            <w:r w:rsidRPr="00B87F18">
              <w:rPr>
                <w:rFonts w:ascii="Arial" w:hAnsi="Arial" w:cs="Arial"/>
                <w:snapToGrid w:val="0"/>
                <w:lang w:eastAsia="en-US"/>
              </w:rPr>
              <w:t xml:space="preserve">Report adverse events to the specialist and </w:t>
            </w:r>
            <w:r w:rsidR="004736AF">
              <w:rPr>
                <w:rFonts w:ascii="Arial" w:hAnsi="Arial" w:cs="Arial"/>
                <w:snapToGrid w:val="0"/>
                <w:lang w:eastAsia="en-US"/>
              </w:rPr>
              <w:t>MHRA</w:t>
            </w:r>
            <w:r w:rsidRPr="00B87F18">
              <w:rPr>
                <w:rFonts w:ascii="Arial" w:hAnsi="Arial" w:cs="Arial"/>
                <w:snapToGrid w:val="0"/>
                <w:lang w:eastAsia="en-US"/>
              </w:rPr>
              <w:t>.</w:t>
            </w:r>
          </w:p>
        </w:tc>
      </w:tr>
    </w:tbl>
    <w:p w:rsidR="00542FD6" w:rsidRPr="00B87F18" w:rsidRDefault="00542FD6">
      <w:pPr>
        <w:pStyle w:val="mtrachead3"/>
        <w:keepNext w:val="0"/>
        <w:jc w:val="both"/>
        <w:outlineLvl w:val="9"/>
        <w:rPr>
          <w:rFonts w:ascii="Arial" w:hAnsi="Arial" w:cs="Arial"/>
          <w:snapToGrid/>
          <w:sz w:val="14"/>
          <w:szCs w:val="1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9"/>
      </w:tblGrid>
      <w:tr w:rsidR="00F74849" w:rsidRPr="00B87F18">
        <w:tc>
          <w:tcPr>
            <w:tcW w:w="10349" w:type="dxa"/>
            <w:tcBorders>
              <w:bottom w:val="single" w:sz="4" w:space="0" w:color="auto"/>
            </w:tcBorders>
          </w:tcPr>
          <w:p w:rsidR="00F74849" w:rsidRPr="00B87F18" w:rsidRDefault="00F74849">
            <w:pPr>
              <w:tabs>
                <w:tab w:val="left" w:pos="540"/>
              </w:tabs>
              <w:spacing w:before="40" w:after="40"/>
              <w:jc w:val="center"/>
              <w:rPr>
                <w:rFonts w:ascii="Arial" w:hAnsi="Arial" w:cs="Arial"/>
                <w:b/>
                <w:snapToGrid w:val="0"/>
                <w:lang w:eastAsia="en-US"/>
              </w:rPr>
            </w:pPr>
            <w:r w:rsidRPr="00B87F18">
              <w:rPr>
                <w:rFonts w:ascii="Arial" w:hAnsi="Arial" w:cs="Arial"/>
                <w:b/>
              </w:rPr>
              <w:t>Patient's r</w:t>
            </w:r>
            <w:r w:rsidRPr="00B87F18">
              <w:rPr>
                <w:rFonts w:ascii="Arial" w:hAnsi="Arial" w:cs="Arial"/>
                <w:b/>
                <w:snapToGrid w:val="0"/>
                <w:lang w:eastAsia="en-US"/>
              </w:rPr>
              <w:t>ole (or that of carer)</w:t>
            </w:r>
          </w:p>
        </w:tc>
      </w:tr>
      <w:tr w:rsidR="00F74849" w:rsidRPr="00B87F18">
        <w:trPr>
          <w:trHeight w:val="240"/>
        </w:trPr>
        <w:tc>
          <w:tcPr>
            <w:tcW w:w="10349" w:type="dxa"/>
            <w:tcBorders>
              <w:top w:val="nil"/>
              <w:left w:val="single" w:sz="4" w:space="0" w:color="auto"/>
              <w:bottom w:val="nil"/>
              <w:right w:val="single" w:sz="4" w:space="0" w:color="auto"/>
            </w:tcBorders>
          </w:tcPr>
          <w:p w:rsidR="00F74849" w:rsidRPr="00B87F18" w:rsidRDefault="00F74849">
            <w:pPr>
              <w:numPr>
                <w:ilvl w:val="0"/>
                <w:numId w:val="24"/>
              </w:numPr>
              <w:jc w:val="both"/>
              <w:rPr>
                <w:rFonts w:ascii="Arial" w:hAnsi="Arial" w:cs="Arial"/>
              </w:rPr>
            </w:pPr>
            <w:r w:rsidRPr="00B87F18">
              <w:rPr>
                <w:rFonts w:ascii="Arial" w:hAnsi="Arial" w:cs="Arial"/>
              </w:rPr>
              <w:t>Report to the specialist or GP if he or she does not have a clear understanding of the treatment.</w:t>
            </w:r>
          </w:p>
        </w:tc>
      </w:tr>
      <w:tr w:rsidR="00F74849" w:rsidRPr="00B87F18">
        <w:trPr>
          <w:trHeight w:val="240"/>
        </w:trPr>
        <w:tc>
          <w:tcPr>
            <w:tcW w:w="10349" w:type="dxa"/>
            <w:tcBorders>
              <w:top w:val="nil"/>
              <w:left w:val="single" w:sz="4" w:space="0" w:color="auto"/>
              <w:bottom w:val="nil"/>
              <w:right w:val="single" w:sz="4" w:space="0" w:color="auto"/>
            </w:tcBorders>
          </w:tcPr>
          <w:p w:rsidR="00F74849" w:rsidRPr="00B87F18" w:rsidRDefault="00F74849" w:rsidP="009C08A4">
            <w:pPr>
              <w:numPr>
                <w:ilvl w:val="0"/>
                <w:numId w:val="24"/>
              </w:numPr>
              <w:jc w:val="both"/>
              <w:rPr>
                <w:rFonts w:ascii="Arial" w:hAnsi="Arial" w:cs="Arial"/>
              </w:rPr>
            </w:pPr>
            <w:r w:rsidRPr="00B87F18">
              <w:rPr>
                <w:rFonts w:ascii="Arial" w:hAnsi="Arial" w:cs="Arial"/>
              </w:rPr>
              <w:t xml:space="preserve">Share any concerns in relation to treatment with </w:t>
            </w:r>
            <w:r w:rsidR="009C08A4">
              <w:rPr>
                <w:rFonts w:ascii="Arial" w:hAnsi="Arial" w:cs="Arial"/>
              </w:rPr>
              <w:t>rifaximin</w:t>
            </w:r>
            <w:r w:rsidR="006C73B1" w:rsidRPr="00B87F18">
              <w:rPr>
                <w:rFonts w:ascii="Arial" w:hAnsi="Arial" w:cs="Arial"/>
              </w:rPr>
              <w:t>.</w:t>
            </w:r>
          </w:p>
        </w:tc>
      </w:tr>
      <w:tr w:rsidR="00F74849" w:rsidRPr="00B87F18">
        <w:trPr>
          <w:trHeight w:val="240"/>
        </w:trPr>
        <w:tc>
          <w:tcPr>
            <w:tcW w:w="10349" w:type="dxa"/>
            <w:tcBorders>
              <w:top w:val="nil"/>
              <w:left w:val="single" w:sz="4" w:space="0" w:color="auto"/>
              <w:bottom w:val="single" w:sz="4" w:space="0" w:color="auto"/>
              <w:right w:val="single" w:sz="4" w:space="0" w:color="auto"/>
            </w:tcBorders>
          </w:tcPr>
          <w:p w:rsidR="00F74849" w:rsidRPr="00B87F18" w:rsidRDefault="00F74849" w:rsidP="009C08A4">
            <w:pPr>
              <w:numPr>
                <w:ilvl w:val="0"/>
                <w:numId w:val="24"/>
              </w:numPr>
              <w:jc w:val="both"/>
              <w:rPr>
                <w:rFonts w:ascii="Arial" w:hAnsi="Arial" w:cs="Arial"/>
              </w:rPr>
            </w:pPr>
            <w:r w:rsidRPr="00B87F18">
              <w:rPr>
                <w:rFonts w:ascii="Arial" w:hAnsi="Arial" w:cs="Arial"/>
              </w:rPr>
              <w:t>Report any adverse effects to the specialist</w:t>
            </w:r>
            <w:r w:rsidR="00D06117" w:rsidRPr="00B87F18">
              <w:rPr>
                <w:rFonts w:ascii="Arial" w:hAnsi="Arial" w:cs="Arial"/>
              </w:rPr>
              <w:t xml:space="preserve"> or GP whilst taking </w:t>
            </w:r>
            <w:r w:rsidR="009C08A4">
              <w:rPr>
                <w:rFonts w:ascii="Arial" w:hAnsi="Arial" w:cs="Arial"/>
              </w:rPr>
              <w:t>rifaximin</w:t>
            </w:r>
            <w:r w:rsidRPr="00B87F18">
              <w:rPr>
                <w:rFonts w:ascii="Arial" w:hAnsi="Arial" w:cs="Arial"/>
              </w:rPr>
              <w:t>.</w:t>
            </w:r>
          </w:p>
        </w:tc>
      </w:tr>
    </w:tbl>
    <w:p w:rsidR="006C73B1" w:rsidRPr="00B87F18" w:rsidRDefault="006C73B1">
      <w:pPr>
        <w:jc w:val="both"/>
        <w:rPr>
          <w:rFonts w:ascii="Arial" w:hAnsi="Arial" w:cs="Arial"/>
          <w:sz w:val="14"/>
          <w:szCs w:val="14"/>
        </w:rPr>
      </w:pPr>
    </w:p>
    <w:p w:rsidR="00F74849" w:rsidRPr="00B87F18" w:rsidRDefault="00F74849">
      <w:pPr>
        <w:pStyle w:val="mtrachead3"/>
        <w:keepNext w:val="0"/>
        <w:spacing w:before="40" w:after="40"/>
        <w:jc w:val="both"/>
        <w:outlineLvl w:val="9"/>
        <w:rPr>
          <w:rFonts w:ascii="Arial" w:hAnsi="Arial" w:cs="Arial"/>
          <w:snapToGrid/>
        </w:rPr>
      </w:pPr>
      <w:r w:rsidRPr="00B87F18">
        <w:rPr>
          <w:rFonts w:ascii="Arial" w:hAnsi="Arial" w:cs="Arial"/>
          <w:snapToGrid/>
        </w:rPr>
        <w:t>BACK-UP ADVICE AND SUPPORT</w:t>
      </w:r>
    </w:p>
    <w:tbl>
      <w:tblPr>
        <w:tblW w:w="10349"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5"/>
        <w:gridCol w:w="1842"/>
        <w:gridCol w:w="993"/>
        <w:gridCol w:w="1559"/>
        <w:gridCol w:w="2410"/>
      </w:tblGrid>
      <w:tr w:rsidR="00F74849" w:rsidRPr="00B87F18">
        <w:trPr>
          <w:cantSplit/>
        </w:trPr>
        <w:tc>
          <w:tcPr>
            <w:tcW w:w="3545" w:type="dxa"/>
            <w:vAlign w:val="center"/>
          </w:tcPr>
          <w:p w:rsidR="00F74849" w:rsidRPr="00B87F18" w:rsidRDefault="00F74849">
            <w:pPr>
              <w:jc w:val="both"/>
              <w:rPr>
                <w:rFonts w:ascii="Arial" w:hAnsi="Arial" w:cs="Arial"/>
                <w:sz w:val="18"/>
              </w:rPr>
            </w:pPr>
            <w:r w:rsidRPr="00B87F18">
              <w:rPr>
                <w:rFonts w:ascii="Arial" w:hAnsi="Arial" w:cs="Arial"/>
                <w:sz w:val="18"/>
              </w:rPr>
              <w:t>Contact details</w:t>
            </w:r>
          </w:p>
        </w:tc>
        <w:tc>
          <w:tcPr>
            <w:tcW w:w="1842" w:type="dxa"/>
            <w:vAlign w:val="center"/>
          </w:tcPr>
          <w:p w:rsidR="00F74849" w:rsidRPr="00B87F18" w:rsidRDefault="00F74849">
            <w:pPr>
              <w:jc w:val="both"/>
              <w:rPr>
                <w:rFonts w:ascii="Arial" w:hAnsi="Arial" w:cs="Arial"/>
                <w:sz w:val="18"/>
              </w:rPr>
            </w:pPr>
            <w:r w:rsidRPr="00B87F18">
              <w:rPr>
                <w:rFonts w:ascii="Arial" w:hAnsi="Arial" w:cs="Arial"/>
                <w:sz w:val="18"/>
              </w:rPr>
              <w:t>Telephone No.</w:t>
            </w:r>
          </w:p>
        </w:tc>
        <w:tc>
          <w:tcPr>
            <w:tcW w:w="993" w:type="dxa"/>
            <w:vAlign w:val="center"/>
          </w:tcPr>
          <w:p w:rsidR="00F74849" w:rsidRPr="00B87F18" w:rsidRDefault="00F74849">
            <w:pPr>
              <w:jc w:val="both"/>
              <w:rPr>
                <w:rFonts w:ascii="Arial" w:hAnsi="Arial" w:cs="Arial"/>
                <w:sz w:val="18"/>
              </w:rPr>
            </w:pPr>
            <w:r w:rsidRPr="00B87F18">
              <w:rPr>
                <w:rFonts w:ascii="Arial" w:hAnsi="Arial" w:cs="Arial"/>
                <w:sz w:val="18"/>
              </w:rPr>
              <w:t>Bleep:</w:t>
            </w:r>
          </w:p>
        </w:tc>
        <w:tc>
          <w:tcPr>
            <w:tcW w:w="1559" w:type="dxa"/>
            <w:vAlign w:val="center"/>
          </w:tcPr>
          <w:p w:rsidR="00F74849" w:rsidRPr="00B87F18" w:rsidRDefault="00F74849">
            <w:pPr>
              <w:jc w:val="both"/>
              <w:rPr>
                <w:rFonts w:ascii="Arial" w:hAnsi="Arial" w:cs="Arial"/>
                <w:sz w:val="18"/>
              </w:rPr>
            </w:pPr>
            <w:r w:rsidRPr="00B87F18">
              <w:rPr>
                <w:rFonts w:ascii="Arial" w:hAnsi="Arial" w:cs="Arial"/>
                <w:sz w:val="18"/>
              </w:rPr>
              <w:t>Fax:</w:t>
            </w:r>
          </w:p>
        </w:tc>
        <w:tc>
          <w:tcPr>
            <w:tcW w:w="2410" w:type="dxa"/>
            <w:vAlign w:val="center"/>
          </w:tcPr>
          <w:p w:rsidR="00F74849" w:rsidRPr="00B87F18" w:rsidRDefault="00F74849">
            <w:pPr>
              <w:jc w:val="both"/>
              <w:rPr>
                <w:rFonts w:ascii="Arial" w:hAnsi="Arial" w:cs="Arial"/>
                <w:sz w:val="18"/>
              </w:rPr>
            </w:pPr>
            <w:r w:rsidRPr="00B87F18">
              <w:rPr>
                <w:rFonts w:ascii="Arial" w:hAnsi="Arial" w:cs="Arial"/>
                <w:sz w:val="18"/>
              </w:rPr>
              <w:t>Email address:</w:t>
            </w:r>
          </w:p>
        </w:tc>
      </w:tr>
      <w:tr w:rsidR="00F74849" w:rsidRPr="00B87F18">
        <w:trPr>
          <w:cantSplit/>
        </w:trPr>
        <w:tc>
          <w:tcPr>
            <w:tcW w:w="3545" w:type="dxa"/>
            <w:vAlign w:val="center"/>
          </w:tcPr>
          <w:p w:rsidR="00F74849" w:rsidRPr="00B87F18" w:rsidRDefault="00F74849">
            <w:pPr>
              <w:pStyle w:val="mtrachead3"/>
              <w:keepNext w:val="0"/>
              <w:spacing w:before="60" w:after="60"/>
              <w:jc w:val="both"/>
              <w:rPr>
                <w:rFonts w:ascii="Arial" w:hAnsi="Arial" w:cs="Arial"/>
                <w:snapToGrid/>
                <w:sz w:val="18"/>
              </w:rPr>
            </w:pPr>
            <w:r w:rsidRPr="00B87F18">
              <w:rPr>
                <w:rFonts w:ascii="Arial" w:hAnsi="Arial" w:cs="Arial"/>
                <w:snapToGrid/>
                <w:sz w:val="18"/>
              </w:rPr>
              <w:t>Specialist:</w:t>
            </w:r>
          </w:p>
        </w:tc>
        <w:tc>
          <w:tcPr>
            <w:tcW w:w="1842" w:type="dxa"/>
            <w:vAlign w:val="center"/>
          </w:tcPr>
          <w:p w:rsidR="00F74849" w:rsidRPr="00B87F18" w:rsidRDefault="00F74849">
            <w:pPr>
              <w:spacing w:after="120"/>
              <w:jc w:val="both"/>
              <w:rPr>
                <w:rFonts w:ascii="Arial" w:hAnsi="Arial" w:cs="Arial"/>
                <w:sz w:val="18"/>
              </w:rPr>
            </w:pPr>
          </w:p>
        </w:tc>
        <w:tc>
          <w:tcPr>
            <w:tcW w:w="993" w:type="dxa"/>
            <w:vAlign w:val="center"/>
          </w:tcPr>
          <w:p w:rsidR="00F74849" w:rsidRPr="00B87F18" w:rsidRDefault="00F74849">
            <w:pPr>
              <w:spacing w:after="120"/>
              <w:jc w:val="both"/>
              <w:rPr>
                <w:rFonts w:ascii="Arial" w:hAnsi="Arial" w:cs="Arial"/>
                <w:sz w:val="18"/>
              </w:rPr>
            </w:pPr>
          </w:p>
        </w:tc>
        <w:tc>
          <w:tcPr>
            <w:tcW w:w="1559" w:type="dxa"/>
            <w:vAlign w:val="center"/>
          </w:tcPr>
          <w:p w:rsidR="00F74849" w:rsidRPr="00B87F18" w:rsidRDefault="00F74849">
            <w:pPr>
              <w:spacing w:after="120"/>
              <w:jc w:val="both"/>
              <w:rPr>
                <w:rFonts w:ascii="Arial" w:hAnsi="Arial" w:cs="Arial"/>
                <w:sz w:val="18"/>
              </w:rPr>
            </w:pPr>
          </w:p>
        </w:tc>
        <w:tc>
          <w:tcPr>
            <w:tcW w:w="2410" w:type="dxa"/>
            <w:vAlign w:val="center"/>
          </w:tcPr>
          <w:p w:rsidR="00F74849" w:rsidRPr="00B87F18" w:rsidRDefault="00F74849">
            <w:pPr>
              <w:spacing w:after="120"/>
              <w:jc w:val="both"/>
              <w:rPr>
                <w:rFonts w:ascii="Arial" w:hAnsi="Arial" w:cs="Arial"/>
                <w:sz w:val="18"/>
              </w:rPr>
            </w:pPr>
          </w:p>
        </w:tc>
      </w:tr>
      <w:tr w:rsidR="00F74849" w:rsidRPr="00B87F18">
        <w:trPr>
          <w:cantSplit/>
        </w:trPr>
        <w:tc>
          <w:tcPr>
            <w:tcW w:w="3545" w:type="dxa"/>
            <w:vAlign w:val="center"/>
          </w:tcPr>
          <w:p w:rsidR="00F74849" w:rsidRPr="00B87F18" w:rsidRDefault="00F74849">
            <w:pPr>
              <w:spacing w:before="60" w:after="60"/>
              <w:jc w:val="both"/>
              <w:rPr>
                <w:rFonts w:ascii="Arial" w:hAnsi="Arial" w:cs="Arial"/>
                <w:b/>
                <w:sz w:val="18"/>
              </w:rPr>
            </w:pPr>
            <w:r w:rsidRPr="00B87F18">
              <w:rPr>
                <w:rFonts w:ascii="Arial" w:hAnsi="Arial" w:cs="Arial"/>
                <w:b/>
                <w:sz w:val="18"/>
              </w:rPr>
              <w:t>Hospital Pharmacy Dept:</w:t>
            </w:r>
          </w:p>
        </w:tc>
        <w:tc>
          <w:tcPr>
            <w:tcW w:w="1842" w:type="dxa"/>
            <w:vAlign w:val="center"/>
          </w:tcPr>
          <w:p w:rsidR="00F74849" w:rsidRPr="00B87F18" w:rsidRDefault="00F74849">
            <w:pPr>
              <w:spacing w:after="120"/>
              <w:jc w:val="both"/>
              <w:rPr>
                <w:rFonts w:ascii="Arial" w:hAnsi="Arial" w:cs="Arial"/>
                <w:sz w:val="18"/>
              </w:rPr>
            </w:pPr>
          </w:p>
        </w:tc>
        <w:tc>
          <w:tcPr>
            <w:tcW w:w="993" w:type="dxa"/>
            <w:vAlign w:val="center"/>
          </w:tcPr>
          <w:p w:rsidR="00F74849" w:rsidRPr="00B87F18" w:rsidRDefault="00F74849">
            <w:pPr>
              <w:spacing w:after="120"/>
              <w:jc w:val="both"/>
              <w:rPr>
                <w:rFonts w:ascii="Arial" w:hAnsi="Arial" w:cs="Arial"/>
                <w:sz w:val="18"/>
              </w:rPr>
            </w:pPr>
          </w:p>
        </w:tc>
        <w:tc>
          <w:tcPr>
            <w:tcW w:w="1559" w:type="dxa"/>
            <w:vAlign w:val="center"/>
          </w:tcPr>
          <w:p w:rsidR="00F74849" w:rsidRPr="00B87F18" w:rsidRDefault="00F74849">
            <w:pPr>
              <w:spacing w:after="120"/>
              <w:jc w:val="both"/>
              <w:rPr>
                <w:rFonts w:ascii="Arial" w:hAnsi="Arial" w:cs="Arial"/>
                <w:sz w:val="18"/>
              </w:rPr>
            </w:pPr>
          </w:p>
        </w:tc>
        <w:tc>
          <w:tcPr>
            <w:tcW w:w="2410" w:type="dxa"/>
            <w:vAlign w:val="center"/>
          </w:tcPr>
          <w:p w:rsidR="00F74849" w:rsidRPr="00B87F18" w:rsidRDefault="00F74849">
            <w:pPr>
              <w:spacing w:after="120"/>
              <w:jc w:val="both"/>
              <w:rPr>
                <w:rFonts w:ascii="Arial" w:hAnsi="Arial" w:cs="Arial"/>
                <w:sz w:val="18"/>
              </w:rPr>
            </w:pPr>
          </w:p>
        </w:tc>
      </w:tr>
      <w:tr w:rsidR="00F74849" w:rsidRPr="00B87F18">
        <w:trPr>
          <w:cantSplit/>
        </w:trPr>
        <w:tc>
          <w:tcPr>
            <w:tcW w:w="3545" w:type="dxa"/>
            <w:vAlign w:val="center"/>
          </w:tcPr>
          <w:p w:rsidR="00F74849" w:rsidRPr="00B87F18" w:rsidRDefault="00F74849">
            <w:pPr>
              <w:spacing w:before="60" w:after="60"/>
              <w:jc w:val="both"/>
              <w:rPr>
                <w:rFonts w:ascii="Arial" w:hAnsi="Arial" w:cs="Arial"/>
                <w:b/>
                <w:sz w:val="18"/>
              </w:rPr>
            </w:pPr>
            <w:r w:rsidRPr="00B87F18">
              <w:rPr>
                <w:rFonts w:ascii="Arial" w:hAnsi="Arial" w:cs="Arial"/>
                <w:b/>
                <w:sz w:val="18"/>
              </w:rPr>
              <w:t>Other:</w:t>
            </w:r>
          </w:p>
        </w:tc>
        <w:tc>
          <w:tcPr>
            <w:tcW w:w="1842" w:type="dxa"/>
            <w:vAlign w:val="center"/>
          </w:tcPr>
          <w:p w:rsidR="00F74849" w:rsidRPr="00B87F18" w:rsidRDefault="00F74849">
            <w:pPr>
              <w:spacing w:after="120"/>
              <w:jc w:val="both"/>
              <w:rPr>
                <w:rFonts w:ascii="Arial" w:hAnsi="Arial" w:cs="Arial"/>
                <w:sz w:val="18"/>
              </w:rPr>
            </w:pPr>
          </w:p>
        </w:tc>
        <w:tc>
          <w:tcPr>
            <w:tcW w:w="993" w:type="dxa"/>
            <w:vAlign w:val="center"/>
          </w:tcPr>
          <w:p w:rsidR="00F74849" w:rsidRPr="00B87F18" w:rsidRDefault="00F74849">
            <w:pPr>
              <w:spacing w:after="120"/>
              <w:jc w:val="both"/>
              <w:rPr>
                <w:rFonts w:ascii="Arial" w:hAnsi="Arial" w:cs="Arial"/>
                <w:sz w:val="18"/>
              </w:rPr>
            </w:pPr>
          </w:p>
        </w:tc>
        <w:tc>
          <w:tcPr>
            <w:tcW w:w="1559" w:type="dxa"/>
            <w:vAlign w:val="center"/>
          </w:tcPr>
          <w:p w:rsidR="00F74849" w:rsidRPr="00B87F18" w:rsidRDefault="00F74849">
            <w:pPr>
              <w:spacing w:after="120"/>
              <w:jc w:val="both"/>
              <w:rPr>
                <w:rFonts w:ascii="Arial" w:hAnsi="Arial" w:cs="Arial"/>
                <w:sz w:val="18"/>
              </w:rPr>
            </w:pPr>
          </w:p>
        </w:tc>
        <w:tc>
          <w:tcPr>
            <w:tcW w:w="2410" w:type="dxa"/>
            <w:vAlign w:val="center"/>
          </w:tcPr>
          <w:p w:rsidR="00F74849" w:rsidRPr="00B87F18" w:rsidRDefault="00F74849">
            <w:pPr>
              <w:spacing w:after="120"/>
              <w:jc w:val="both"/>
              <w:rPr>
                <w:rFonts w:ascii="Arial" w:hAnsi="Arial" w:cs="Arial"/>
                <w:sz w:val="18"/>
              </w:rPr>
            </w:pPr>
          </w:p>
        </w:tc>
      </w:tr>
    </w:tbl>
    <w:p w:rsidR="00E70AF1" w:rsidRPr="00B87F18" w:rsidRDefault="00E70AF1" w:rsidP="00E70AF1">
      <w:pPr>
        <w:spacing w:before="60" w:after="120"/>
        <w:jc w:val="both"/>
        <w:rPr>
          <w:rFonts w:ascii="Arial" w:hAnsi="Arial" w:cs="Arial"/>
        </w:rPr>
      </w:pPr>
      <w:r w:rsidRPr="00B87F18">
        <w:rPr>
          <w:rStyle w:val="FootnoteReference"/>
          <w:rFonts w:ascii="Arial" w:hAnsi="Arial" w:cs="Arial"/>
          <w:vertAlign w:val="baseline"/>
        </w:rPr>
        <w:footnoteRef/>
      </w:r>
      <w:r w:rsidRPr="00B87F18">
        <w:rPr>
          <w:rFonts w:ascii="Arial" w:hAnsi="Arial" w:cs="Arial"/>
          <w:sz w:val="18"/>
          <w:szCs w:val="18"/>
        </w:rPr>
        <w:t xml:space="preserve"> Or any primary care prescriber</w:t>
      </w:r>
    </w:p>
    <w:p w:rsidR="00F74849" w:rsidRPr="00B87F18" w:rsidRDefault="00F74849">
      <w:pPr>
        <w:spacing w:after="120"/>
        <w:jc w:val="both"/>
        <w:rPr>
          <w:rFonts w:ascii="Arial" w:hAnsi="Arial" w:cs="Arial"/>
          <w:b/>
        </w:rPr>
      </w:pPr>
      <w:r w:rsidRPr="00B87F18">
        <w:rPr>
          <w:rFonts w:ascii="Arial" w:hAnsi="Arial" w:cs="Arial"/>
        </w:rPr>
        <w:br w:type="page"/>
      </w:r>
      <w:r w:rsidRPr="00B87F18">
        <w:rPr>
          <w:rFonts w:ascii="Arial" w:hAnsi="Arial" w:cs="Arial"/>
          <w:b/>
        </w:rPr>
        <w:lastRenderedPageBreak/>
        <w:t>SUPPORTING INFORMATION</w:t>
      </w:r>
    </w:p>
    <w:p w:rsidR="00F74849" w:rsidRPr="00B87F18" w:rsidRDefault="0089510D">
      <w:pPr>
        <w:spacing w:after="80"/>
        <w:jc w:val="both"/>
        <w:rPr>
          <w:rFonts w:ascii="Arial" w:hAnsi="Arial" w:cs="Arial"/>
          <w:b/>
        </w:rPr>
      </w:pPr>
      <w:r w:rsidRPr="00B87F18">
        <w:rPr>
          <w:rFonts w:ascii="Arial" w:hAnsi="Arial" w:cs="Arial"/>
          <w:b/>
        </w:rPr>
        <w:t>Licensed indication</w:t>
      </w:r>
    </w:p>
    <w:p w:rsidR="008B631D" w:rsidRDefault="00D8402C" w:rsidP="008B631D">
      <w:pPr>
        <w:pStyle w:val="mtrachead3"/>
        <w:jc w:val="both"/>
        <w:outlineLvl w:val="1"/>
        <w:rPr>
          <w:rFonts w:ascii="Arial" w:hAnsi="Arial" w:cs="Arial"/>
          <w:b w:val="0"/>
          <w:lang w:val="en-US"/>
        </w:rPr>
      </w:pPr>
      <w:r>
        <w:rPr>
          <w:rFonts w:ascii="Arial" w:hAnsi="Arial" w:cs="Arial"/>
          <w:b w:val="0"/>
          <w:lang w:val="en-US"/>
        </w:rPr>
        <w:t xml:space="preserve">Rifaximin 550 mg tablets are </w:t>
      </w:r>
      <w:r w:rsidRPr="00D8402C">
        <w:rPr>
          <w:rFonts w:ascii="Arial" w:hAnsi="Arial" w:cs="Arial"/>
          <w:b w:val="0"/>
          <w:lang w:val="en-US"/>
        </w:rPr>
        <w:t xml:space="preserve">indicated for the reduction in recurrence of episodes of overt hepatic encephalopathy in </w:t>
      </w:r>
      <w:proofErr w:type="gramStart"/>
      <w:r w:rsidRPr="00D8402C">
        <w:rPr>
          <w:rFonts w:ascii="Arial" w:hAnsi="Arial" w:cs="Arial"/>
          <w:b w:val="0"/>
          <w:lang w:val="en-US"/>
        </w:rPr>
        <w:t>patients</w:t>
      </w:r>
      <w:proofErr w:type="gramEnd"/>
      <w:r w:rsidRPr="00D8402C">
        <w:rPr>
          <w:rFonts w:ascii="Arial" w:hAnsi="Arial" w:cs="Arial"/>
          <w:b w:val="0"/>
          <w:lang w:val="en-US"/>
        </w:rPr>
        <w:t xml:space="preserve"> ≥ 18 years of age</w:t>
      </w:r>
      <w:r>
        <w:rPr>
          <w:rFonts w:ascii="Arial" w:hAnsi="Arial" w:cs="Arial"/>
          <w:b w:val="0"/>
          <w:lang w:val="en-US"/>
        </w:rPr>
        <w:t>.</w:t>
      </w:r>
    </w:p>
    <w:p w:rsidR="00F73A00" w:rsidRPr="00B87F18" w:rsidRDefault="00F73A00" w:rsidP="00F73A00">
      <w:pPr>
        <w:pStyle w:val="mtrachead3"/>
        <w:jc w:val="both"/>
        <w:outlineLvl w:val="1"/>
        <w:rPr>
          <w:rFonts w:ascii="Arial" w:hAnsi="Arial" w:cs="Arial"/>
          <w:b w:val="0"/>
          <w:lang w:val="en-US"/>
        </w:rPr>
      </w:pPr>
      <w:r>
        <w:rPr>
          <w:rFonts w:ascii="Arial" w:hAnsi="Arial" w:cs="Arial"/>
          <w:b w:val="0"/>
          <w:lang w:val="en-US"/>
        </w:rPr>
        <w:t>The Summary of Product Characteristics (SPC) advises that i</w:t>
      </w:r>
      <w:r w:rsidRPr="00D8402C">
        <w:rPr>
          <w:rFonts w:ascii="Arial" w:hAnsi="Arial" w:cs="Arial"/>
          <w:b w:val="0"/>
          <w:lang w:val="en-US"/>
        </w:rPr>
        <w:t>n the pivotal study, 91% of the patients were using concomitant lactulose.</w:t>
      </w:r>
      <w:r>
        <w:rPr>
          <w:rFonts w:ascii="Arial" w:hAnsi="Arial" w:cs="Arial"/>
          <w:b w:val="0"/>
          <w:lang w:val="en-US"/>
        </w:rPr>
        <w:t xml:space="preserve"> </w:t>
      </w:r>
      <w:r w:rsidRPr="00D8402C">
        <w:rPr>
          <w:rFonts w:ascii="Arial" w:hAnsi="Arial" w:cs="Arial"/>
          <w:b w:val="0"/>
          <w:lang w:val="en-US"/>
        </w:rPr>
        <w:t xml:space="preserve">Consideration should </w:t>
      </w:r>
      <w:r>
        <w:rPr>
          <w:rFonts w:ascii="Arial" w:hAnsi="Arial" w:cs="Arial"/>
          <w:b w:val="0"/>
          <w:lang w:val="en-US"/>
        </w:rPr>
        <w:t xml:space="preserve">also </w:t>
      </w:r>
      <w:r w:rsidRPr="00D8402C">
        <w:rPr>
          <w:rFonts w:ascii="Arial" w:hAnsi="Arial" w:cs="Arial"/>
          <w:b w:val="0"/>
          <w:lang w:val="en-US"/>
        </w:rPr>
        <w:t>be given to official guidance on the appropriate use of antibacterial agents.</w:t>
      </w:r>
    </w:p>
    <w:p w:rsidR="00D8402C" w:rsidRDefault="00D8402C" w:rsidP="00D8402C">
      <w:pPr>
        <w:pStyle w:val="mtrachead3"/>
        <w:jc w:val="both"/>
        <w:outlineLvl w:val="1"/>
        <w:rPr>
          <w:rFonts w:ascii="Arial" w:hAnsi="Arial" w:cs="Arial"/>
          <w:b w:val="0"/>
          <w:lang w:val="en-US"/>
        </w:rPr>
      </w:pPr>
    </w:p>
    <w:p w:rsidR="00F74849" w:rsidRPr="00B87F18" w:rsidRDefault="00F74849">
      <w:pPr>
        <w:pStyle w:val="mtrachead3"/>
        <w:keepNext w:val="0"/>
        <w:spacing w:after="80"/>
        <w:jc w:val="both"/>
        <w:outlineLvl w:val="9"/>
        <w:rPr>
          <w:rFonts w:ascii="Arial" w:hAnsi="Arial" w:cs="Arial"/>
          <w:snapToGrid/>
        </w:rPr>
      </w:pPr>
      <w:r w:rsidRPr="00B87F18">
        <w:rPr>
          <w:rFonts w:ascii="Arial" w:hAnsi="Arial" w:cs="Arial"/>
          <w:snapToGrid/>
        </w:rPr>
        <w:t>Dosage and Administration</w:t>
      </w:r>
    </w:p>
    <w:p w:rsidR="00D8402C" w:rsidRPr="00D8402C" w:rsidRDefault="00D8402C" w:rsidP="00D8402C">
      <w:pPr>
        <w:keepNext/>
        <w:spacing w:after="120"/>
        <w:jc w:val="both"/>
        <w:outlineLvl w:val="1"/>
        <w:rPr>
          <w:rFonts w:ascii="Arial" w:hAnsi="Arial" w:cs="Arial"/>
        </w:rPr>
      </w:pPr>
      <w:r>
        <w:rPr>
          <w:rFonts w:ascii="Arial" w:hAnsi="Arial" w:cs="Arial"/>
        </w:rPr>
        <w:t>The r</w:t>
      </w:r>
      <w:r w:rsidRPr="00D8402C">
        <w:rPr>
          <w:rFonts w:ascii="Arial" w:hAnsi="Arial" w:cs="Arial"/>
        </w:rPr>
        <w:t xml:space="preserve">ecommended dose </w:t>
      </w:r>
      <w:r>
        <w:rPr>
          <w:rFonts w:ascii="Arial" w:hAnsi="Arial" w:cs="Arial"/>
        </w:rPr>
        <w:t xml:space="preserve">is one </w:t>
      </w:r>
      <w:r w:rsidRPr="00D8402C">
        <w:rPr>
          <w:rFonts w:ascii="Arial" w:hAnsi="Arial" w:cs="Arial"/>
        </w:rPr>
        <w:t xml:space="preserve">550 mg </w:t>
      </w:r>
      <w:r>
        <w:rPr>
          <w:rFonts w:ascii="Arial" w:hAnsi="Arial" w:cs="Arial"/>
        </w:rPr>
        <w:t xml:space="preserve">tablet, </w:t>
      </w:r>
      <w:r w:rsidRPr="00D8402C">
        <w:rPr>
          <w:rFonts w:ascii="Arial" w:hAnsi="Arial" w:cs="Arial"/>
        </w:rPr>
        <w:t>twice a day. The clinical benefit was established from a controlled study in which subjects were treated for 6 months. Treatment beyond 6 months should take into consideration the individual balance between benefits and risks, including those associated with the progression of hepatic dysfunction</w:t>
      </w:r>
      <w:r>
        <w:rPr>
          <w:rFonts w:ascii="Arial" w:hAnsi="Arial" w:cs="Arial"/>
        </w:rPr>
        <w:t xml:space="preserve">. </w:t>
      </w:r>
      <w:r w:rsidRPr="00D8402C">
        <w:rPr>
          <w:rFonts w:ascii="Arial" w:hAnsi="Arial" w:cs="Arial"/>
        </w:rPr>
        <w:t xml:space="preserve"> </w:t>
      </w:r>
      <w:r>
        <w:rPr>
          <w:rFonts w:ascii="Arial" w:hAnsi="Arial" w:cs="Arial"/>
        </w:rPr>
        <w:t xml:space="preserve">Rifaximin can be administered with or without food, and should be given with a glass of water. </w:t>
      </w:r>
    </w:p>
    <w:p w:rsidR="008B631D" w:rsidRPr="00B87F18" w:rsidRDefault="008B631D" w:rsidP="008B631D">
      <w:pPr>
        <w:keepNext/>
        <w:jc w:val="both"/>
        <w:outlineLvl w:val="1"/>
        <w:rPr>
          <w:rFonts w:ascii="Arial" w:hAnsi="Arial" w:cs="Arial"/>
        </w:rPr>
      </w:pPr>
    </w:p>
    <w:p w:rsidR="00F74849" w:rsidRPr="00B87F18" w:rsidRDefault="00F74849">
      <w:pPr>
        <w:spacing w:after="60"/>
        <w:jc w:val="both"/>
        <w:rPr>
          <w:rFonts w:ascii="Arial" w:hAnsi="Arial" w:cs="Arial"/>
          <w:b/>
        </w:rPr>
      </w:pPr>
      <w:r w:rsidRPr="00B87F18">
        <w:rPr>
          <w:rFonts w:ascii="Arial" w:hAnsi="Arial" w:cs="Arial"/>
          <w:b/>
        </w:rPr>
        <w:t>Monitoring</w:t>
      </w:r>
    </w:p>
    <w:p w:rsidR="008B631D" w:rsidRPr="00B87F18" w:rsidRDefault="00F73A00" w:rsidP="008B631D">
      <w:pPr>
        <w:jc w:val="both"/>
        <w:rPr>
          <w:rFonts w:ascii="Arial" w:hAnsi="Arial" w:cs="Arial"/>
        </w:rPr>
      </w:pPr>
      <w:r>
        <w:rPr>
          <w:rFonts w:ascii="Arial" w:hAnsi="Arial" w:cs="Arial"/>
        </w:rPr>
        <w:t xml:space="preserve">The SPC does not </w:t>
      </w:r>
      <w:r w:rsidR="00C33F7D">
        <w:rPr>
          <w:rFonts w:ascii="Arial" w:hAnsi="Arial" w:cs="Arial"/>
        </w:rPr>
        <w:t xml:space="preserve">identify </w:t>
      </w:r>
      <w:r>
        <w:rPr>
          <w:rFonts w:ascii="Arial" w:hAnsi="Arial" w:cs="Arial"/>
        </w:rPr>
        <w:t>any specific monito</w:t>
      </w:r>
      <w:r w:rsidR="00C33F7D">
        <w:rPr>
          <w:rFonts w:ascii="Arial" w:hAnsi="Arial" w:cs="Arial"/>
        </w:rPr>
        <w:t xml:space="preserve">ring requirements for this drug.  </w:t>
      </w:r>
    </w:p>
    <w:p w:rsidR="009C08A4" w:rsidRDefault="009C08A4" w:rsidP="008B631D">
      <w:pPr>
        <w:pStyle w:val="Heading5"/>
        <w:keepNext w:val="0"/>
        <w:spacing w:after="60"/>
        <w:rPr>
          <w:rFonts w:ascii="Arial" w:hAnsi="Arial" w:cs="Arial"/>
        </w:rPr>
      </w:pPr>
    </w:p>
    <w:p w:rsidR="008B631D" w:rsidRPr="00B87F18" w:rsidRDefault="00F74849" w:rsidP="008B631D">
      <w:pPr>
        <w:pStyle w:val="Heading5"/>
        <w:keepNext w:val="0"/>
        <w:spacing w:after="60"/>
        <w:rPr>
          <w:rFonts w:ascii="Arial" w:hAnsi="Arial" w:cs="Arial"/>
        </w:rPr>
      </w:pPr>
      <w:r w:rsidRPr="00B87F18">
        <w:rPr>
          <w:rFonts w:ascii="Arial" w:hAnsi="Arial" w:cs="Arial"/>
        </w:rPr>
        <w:t>Contraindications</w:t>
      </w:r>
      <w:r w:rsidR="00E86255">
        <w:rPr>
          <w:rFonts w:ascii="Arial" w:hAnsi="Arial" w:cs="Arial"/>
        </w:rPr>
        <w:t xml:space="preserve"> and precautions for use</w:t>
      </w:r>
    </w:p>
    <w:p w:rsidR="00D8402C" w:rsidRPr="00D8402C" w:rsidRDefault="00D8402C" w:rsidP="00D8402C">
      <w:pPr>
        <w:jc w:val="both"/>
        <w:rPr>
          <w:rFonts w:ascii="Arial" w:hAnsi="Arial" w:cs="Arial"/>
          <w:i/>
        </w:rPr>
      </w:pPr>
      <w:r w:rsidRPr="00D8402C">
        <w:rPr>
          <w:rFonts w:ascii="Arial" w:hAnsi="Arial" w:cs="Arial"/>
          <w:i/>
        </w:rPr>
        <w:t>Contraindications:</w:t>
      </w:r>
    </w:p>
    <w:p w:rsidR="00D8402C" w:rsidRPr="00D8402C" w:rsidRDefault="00D8402C" w:rsidP="00D8402C">
      <w:pPr>
        <w:numPr>
          <w:ilvl w:val="0"/>
          <w:numId w:val="34"/>
        </w:numPr>
        <w:jc w:val="both"/>
        <w:rPr>
          <w:rFonts w:ascii="Arial" w:hAnsi="Arial" w:cs="Arial"/>
        </w:rPr>
      </w:pPr>
      <w:r w:rsidRPr="00D8402C">
        <w:rPr>
          <w:rFonts w:ascii="Arial" w:hAnsi="Arial" w:cs="Arial"/>
        </w:rPr>
        <w:t xml:space="preserve">Hypersensitivity to rifaximin, rifamycin-derivatives or to any of the </w:t>
      </w:r>
      <w:r>
        <w:rPr>
          <w:rFonts w:ascii="Arial" w:hAnsi="Arial" w:cs="Arial"/>
        </w:rPr>
        <w:t xml:space="preserve">product’s </w:t>
      </w:r>
      <w:r w:rsidRPr="00D8402C">
        <w:rPr>
          <w:rFonts w:ascii="Arial" w:hAnsi="Arial" w:cs="Arial"/>
        </w:rPr>
        <w:t>excipients</w:t>
      </w:r>
      <w:r w:rsidR="004432A4">
        <w:rPr>
          <w:rFonts w:ascii="Arial" w:hAnsi="Arial" w:cs="Arial"/>
        </w:rPr>
        <w:t>.</w:t>
      </w:r>
    </w:p>
    <w:p w:rsidR="008B631D" w:rsidRDefault="00D8402C" w:rsidP="00D8402C">
      <w:pPr>
        <w:numPr>
          <w:ilvl w:val="0"/>
          <w:numId w:val="34"/>
        </w:numPr>
        <w:jc w:val="both"/>
        <w:rPr>
          <w:rFonts w:ascii="Arial" w:hAnsi="Arial" w:cs="Arial"/>
        </w:rPr>
      </w:pPr>
      <w:r w:rsidRPr="00D8402C">
        <w:rPr>
          <w:rFonts w:ascii="Arial" w:hAnsi="Arial" w:cs="Arial"/>
        </w:rPr>
        <w:t>Cases of intestin</w:t>
      </w:r>
      <w:r>
        <w:rPr>
          <w:rFonts w:ascii="Arial" w:hAnsi="Arial" w:cs="Arial"/>
        </w:rPr>
        <w:t>al obstruction</w:t>
      </w:r>
    </w:p>
    <w:p w:rsidR="005D5073" w:rsidRPr="005D5073" w:rsidRDefault="005D5073" w:rsidP="00D8402C">
      <w:pPr>
        <w:jc w:val="both"/>
        <w:rPr>
          <w:rFonts w:ascii="Arial" w:hAnsi="Arial" w:cs="Arial"/>
          <w:i/>
        </w:rPr>
      </w:pPr>
      <w:r w:rsidRPr="005D5073">
        <w:rPr>
          <w:rFonts w:ascii="Arial" w:hAnsi="Arial" w:cs="Arial"/>
          <w:i/>
        </w:rPr>
        <w:t xml:space="preserve">Special warnings/precautions: </w:t>
      </w:r>
    </w:p>
    <w:p w:rsidR="00D8402C" w:rsidRPr="00D8402C" w:rsidRDefault="00D8402C" w:rsidP="005D5073">
      <w:pPr>
        <w:numPr>
          <w:ilvl w:val="0"/>
          <w:numId w:val="35"/>
        </w:numPr>
        <w:jc w:val="both"/>
        <w:rPr>
          <w:rFonts w:ascii="Arial" w:hAnsi="Arial" w:cs="Arial"/>
        </w:rPr>
      </w:pPr>
      <w:r w:rsidRPr="00D8402C">
        <w:rPr>
          <w:rFonts w:ascii="Arial" w:hAnsi="Arial" w:cs="Arial"/>
        </w:rPr>
        <w:t xml:space="preserve">The potential association of rifaximin treatment with </w:t>
      </w:r>
      <w:r w:rsidRPr="009C08A4">
        <w:rPr>
          <w:rFonts w:ascii="Arial" w:hAnsi="Arial" w:cs="Arial"/>
          <w:i/>
        </w:rPr>
        <w:t>C</w:t>
      </w:r>
      <w:r w:rsidR="00F73A00" w:rsidRPr="009C08A4">
        <w:rPr>
          <w:rFonts w:ascii="Arial" w:hAnsi="Arial" w:cs="Arial"/>
          <w:i/>
        </w:rPr>
        <w:t>lostridium difficile</w:t>
      </w:r>
      <w:r w:rsidR="009C08A4">
        <w:rPr>
          <w:rFonts w:ascii="Arial" w:hAnsi="Arial" w:cs="Arial"/>
        </w:rPr>
        <w:t>-</w:t>
      </w:r>
      <w:r w:rsidR="00F73A00">
        <w:rPr>
          <w:rFonts w:ascii="Arial" w:hAnsi="Arial" w:cs="Arial"/>
        </w:rPr>
        <w:t xml:space="preserve">associated disease and </w:t>
      </w:r>
      <w:r w:rsidR="009C08A4">
        <w:rPr>
          <w:rFonts w:ascii="Arial" w:hAnsi="Arial" w:cs="Arial"/>
        </w:rPr>
        <w:t>pseudomembranous colitis</w:t>
      </w:r>
      <w:r w:rsidRPr="00D8402C">
        <w:rPr>
          <w:rFonts w:ascii="Arial" w:hAnsi="Arial" w:cs="Arial"/>
        </w:rPr>
        <w:t xml:space="preserve"> cannot be ruled out.</w:t>
      </w:r>
    </w:p>
    <w:p w:rsidR="00D8402C" w:rsidRPr="00D8402C" w:rsidRDefault="00F73A00" w:rsidP="005D5073">
      <w:pPr>
        <w:numPr>
          <w:ilvl w:val="0"/>
          <w:numId w:val="35"/>
        </w:numPr>
        <w:jc w:val="both"/>
        <w:rPr>
          <w:rFonts w:ascii="Arial" w:hAnsi="Arial" w:cs="Arial"/>
        </w:rPr>
      </w:pPr>
      <w:r>
        <w:rPr>
          <w:rFonts w:ascii="Arial" w:hAnsi="Arial" w:cs="Arial"/>
        </w:rPr>
        <w:t>C</w:t>
      </w:r>
      <w:r w:rsidR="00D8402C" w:rsidRPr="00D8402C">
        <w:rPr>
          <w:rFonts w:ascii="Arial" w:hAnsi="Arial" w:cs="Arial"/>
        </w:rPr>
        <w:t>oncomitant administration of rifaximin with other rifamycins is not recommended.</w:t>
      </w:r>
    </w:p>
    <w:p w:rsidR="00D8402C" w:rsidRPr="00D8402C" w:rsidRDefault="00D8402C" w:rsidP="005D5073">
      <w:pPr>
        <w:numPr>
          <w:ilvl w:val="0"/>
          <w:numId w:val="35"/>
        </w:numPr>
        <w:jc w:val="both"/>
        <w:rPr>
          <w:rFonts w:ascii="Arial" w:hAnsi="Arial" w:cs="Arial"/>
        </w:rPr>
      </w:pPr>
      <w:r w:rsidRPr="00D8402C">
        <w:rPr>
          <w:rFonts w:ascii="Arial" w:hAnsi="Arial" w:cs="Arial"/>
        </w:rPr>
        <w:t>Patients should be informed that despite the negligible absorption</w:t>
      </w:r>
      <w:r w:rsidR="00F73A00">
        <w:rPr>
          <w:rFonts w:ascii="Arial" w:hAnsi="Arial" w:cs="Arial"/>
        </w:rPr>
        <w:t>, in common with other r</w:t>
      </w:r>
      <w:r w:rsidR="009C08A4">
        <w:rPr>
          <w:rFonts w:ascii="Arial" w:hAnsi="Arial" w:cs="Arial"/>
        </w:rPr>
        <w:t>ifamycins,</w:t>
      </w:r>
      <w:r w:rsidR="00F73A00">
        <w:rPr>
          <w:rFonts w:ascii="Arial" w:hAnsi="Arial" w:cs="Arial"/>
        </w:rPr>
        <w:t xml:space="preserve"> </w:t>
      </w:r>
      <w:r w:rsidRPr="00D8402C">
        <w:rPr>
          <w:rFonts w:ascii="Arial" w:hAnsi="Arial" w:cs="Arial"/>
        </w:rPr>
        <w:t xml:space="preserve">rifaximin </w:t>
      </w:r>
      <w:proofErr w:type="gramStart"/>
      <w:r w:rsidRPr="00D8402C">
        <w:rPr>
          <w:rFonts w:ascii="Arial" w:hAnsi="Arial" w:cs="Arial"/>
        </w:rPr>
        <w:t>may</w:t>
      </w:r>
      <w:proofErr w:type="gramEnd"/>
      <w:r w:rsidRPr="00D8402C">
        <w:rPr>
          <w:rFonts w:ascii="Arial" w:hAnsi="Arial" w:cs="Arial"/>
        </w:rPr>
        <w:t xml:space="preserve"> cause a reddish discolouration of the urine.</w:t>
      </w:r>
    </w:p>
    <w:p w:rsidR="00D8402C" w:rsidRDefault="00D8402C" w:rsidP="005D5073">
      <w:pPr>
        <w:numPr>
          <w:ilvl w:val="0"/>
          <w:numId w:val="35"/>
        </w:numPr>
        <w:jc w:val="both"/>
        <w:rPr>
          <w:rFonts w:ascii="Arial" w:hAnsi="Arial" w:cs="Arial"/>
        </w:rPr>
      </w:pPr>
      <w:r w:rsidRPr="00D8402C">
        <w:rPr>
          <w:rFonts w:ascii="Arial" w:hAnsi="Arial" w:cs="Arial"/>
        </w:rPr>
        <w:t>Hepatic Impairment: use with caution in patients with severe (Child-Pugh C) hepatic impairment and in patients with MELD (Model for End-S</w:t>
      </w:r>
      <w:r w:rsidR="005D5073">
        <w:rPr>
          <w:rFonts w:ascii="Arial" w:hAnsi="Arial" w:cs="Arial"/>
        </w:rPr>
        <w:t>tage Liver Disease) s</w:t>
      </w:r>
      <w:r w:rsidR="004432A4">
        <w:rPr>
          <w:rFonts w:ascii="Arial" w:hAnsi="Arial" w:cs="Arial"/>
        </w:rPr>
        <w:t>core &gt; 25.</w:t>
      </w:r>
    </w:p>
    <w:p w:rsidR="00D8402C" w:rsidRPr="00B87F18" w:rsidRDefault="00F73A00" w:rsidP="005D5073">
      <w:pPr>
        <w:numPr>
          <w:ilvl w:val="0"/>
          <w:numId w:val="35"/>
        </w:numPr>
        <w:jc w:val="both"/>
        <w:rPr>
          <w:rFonts w:ascii="Arial" w:hAnsi="Arial" w:cs="Arial"/>
        </w:rPr>
      </w:pPr>
      <w:r>
        <w:rPr>
          <w:rFonts w:ascii="Arial" w:hAnsi="Arial" w:cs="Arial"/>
        </w:rPr>
        <w:t xml:space="preserve">Whilst interactions </w:t>
      </w:r>
      <w:r w:rsidR="00D8402C" w:rsidRPr="00D8402C">
        <w:rPr>
          <w:rFonts w:ascii="Arial" w:hAnsi="Arial" w:cs="Arial"/>
        </w:rPr>
        <w:t>h</w:t>
      </w:r>
      <w:r>
        <w:rPr>
          <w:rFonts w:ascii="Arial" w:hAnsi="Arial" w:cs="Arial"/>
        </w:rPr>
        <w:t xml:space="preserve">ave not been commonly reported, the use of </w:t>
      </w:r>
      <w:r w:rsidR="00D8402C" w:rsidRPr="00D8402C">
        <w:rPr>
          <w:rFonts w:ascii="Arial" w:hAnsi="Arial" w:cs="Arial"/>
        </w:rPr>
        <w:t>additional contraceptive precautions</w:t>
      </w:r>
      <w:r>
        <w:rPr>
          <w:rFonts w:ascii="Arial" w:hAnsi="Arial" w:cs="Arial"/>
        </w:rPr>
        <w:t xml:space="preserve"> is recommended</w:t>
      </w:r>
      <w:r w:rsidR="00D8402C" w:rsidRPr="00D8402C">
        <w:rPr>
          <w:rFonts w:ascii="Arial" w:hAnsi="Arial" w:cs="Arial"/>
        </w:rPr>
        <w:t xml:space="preserve">, in particular if the </w:t>
      </w:r>
      <w:r>
        <w:rPr>
          <w:rFonts w:ascii="Arial" w:hAnsi="Arial" w:cs="Arial"/>
        </w:rPr>
        <w:t xml:space="preserve">oral contraceptive </w:t>
      </w:r>
      <w:r w:rsidR="00D8402C" w:rsidRPr="00D8402C">
        <w:rPr>
          <w:rFonts w:ascii="Arial" w:hAnsi="Arial" w:cs="Arial"/>
        </w:rPr>
        <w:t xml:space="preserve">oestrogen content </w:t>
      </w:r>
      <w:r>
        <w:rPr>
          <w:rFonts w:ascii="Arial" w:hAnsi="Arial" w:cs="Arial"/>
        </w:rPr>
        <w:t xml:space="preserve">is below </w:t>
      </w:r>
      <w:r w:rsidR="005D5073">
        <w:rPr>
          <w:rFonts w:ascii="Arial" w:hAnsi="Arial" w:cs="Arial"/>
        </w:rPr>
        <w:t xml:space="preserve"> </w:t>
      </w:r>
      <w:r>
        <w:rPr>
          <w:rFonts w:ascii="Arial" w:hAnsi="Arial" w:cs="Arial"/>
        </w:rPr>
        <w:t>&lt;50</w:t>
      </w:r>
      <w:r w:rsidR="005D5073">
        <w:rPr>
          <w:rFonts w:ascii="Arial" w:hAnsi="Arial" w:cs="Arial"/>
        </w:rPr>
        <w:t xml:space="preserve"> micrograms</w:t>
      </w:r>
      <w:r w:rsidR="004432A4">
        <w:rPr>
          <w:rFonts w:ascii="Arial" w:hAnsi="Arial" w:cs="Arial"/>
        </w:rPr>
        <w:t>.</w:t>
      </w:r>
    </w:p>
    <w:p w:rsidR="00D8402C" w:rsidRDefault="00D8402C">
      <w:pPr>
        <w:pStyle w:val="mtrachead3"/>
        <w:keepNext w:val="0"/>
        <w:spacing w:after="60"/>
        <w:jc w:val="both"/>
        <w:outlineLvl w:val="9"/>
        <w:rPr>
          <w:rFonts w:ascii="Arial" w:hAnsi="Arial" w:cs="Arial"/>
          <w:snapToGrid/>
        </w:rPr>
      </w:pPr>
    </w:p>
    <w:p w:rsidR="00F74849" w:rsidRPr="00B87F18" w:rsidRDefault="00F74849">
      <w:pPr>
        <w:pStyle w:val="mtrachead3"/>
        <w:keepNext w:val="0"/>
        <w:spacing w:after="60"/>
        <w:jc w:val="both"/>
        <w:outlineLvl w:val="9"/>
        <w:rPr>
          <w:rFonts w:ascii="Arial" w:hAnsi="Arial" w:cs="Arial"/>
          <w:snapToGrid/>
        </w:rPr>
      </w:pPr>
      <w:r w:rsidRPr="00B87F18">
        <w:rPr>
          <w:rFonts w:ascii="Arial" w:hAnsi="Arial" w:cs="Arial"/>
          <w:snapToGrid/>
        </w:rPr>
        <w:t>Therapeutic Use</w:t>
      </w:r>
    </w:p>
    <w:p w:rsidR="00F74849" w:rsidRPr="00B87F18" w:rsidRDefault="006E4D50" w:rsidP="008B631D">
      <w:pPr>
        <w:keepNext/>
        <w:jc w:val="both"/>
        <w:outlineLvl w:val="1"/>
        <w:rPr>
          <w:rFonts w:ascii="Arial" w:hAnsi="Arial" w:cs="Arial"/>
        </w:rPr>
      </w:pPr>
      <w:r w:rsidRPr="00B87F18">
        <w:rPr>
          <w:rFonts w:ascii="Arial" w:hAnsi="Arial" w:cs="Arial"/>
        </w:rPr>
        <w:t xml:space="preserve">Refer to MTRAC </w:t>
      </w:r>
      <w:r w:rsidR="00D06117" w:rsidRPr="00B87F18">
        <w:rPr>
          <w:rFonts w:ascii="Arial" w:hAnsi="Arial" w:cs="Arial"/>
        </w:rPr>
        <w:t>verdict and summary sheet</w:t>
      </w:r>
      <w:r w:rsidR="0089510D" w:rsidRPr="00B87F18">
        <w:rPr>
          <w:rFonts w:ascii="Arial" w:hAnsi="Arial" w:cs="Arial"/>
        </w:rPr>
        <w:t xml:space="preserve"> </w:t>
      </w:r>
      <w:r w:rsidR="0043006A">
        <w:rPr>
          <w:rFonts w:ascii="Arial" w:hAnsi="Arial" w:cs="Arial"/>
        </w:rPr>
        <w:t>for rifaximin</w:t>
      </w:r>
      <w:r w:rsidR="009C08A4">
        <w:rPr>
          <w:rFonts w:ascii="Arial" w:hAnsi="Arial" w:cs="Arial"/>
        </w:rPr>
        <w:t xml:space="preserve"> 550 mg tablets</w:t>
      </w:r>
    </w:p>
    <w:p w:rsidR="008B631D" w:rsidRPr="00B87F18" w:rsidRDefault="008B631D" w:rsidP="008B631D">
      <w:pPr>
        <w:keepNext/>
        <w:jc w:val="both"/>
        <w:outlineLvl w:val="1"/>
        <w:rPr>
          <w:rFonts w:ascii="Arial" w:hAnsi="Arial" w:cs="Arial"/>
        </w:rPr>
      </w:pPr>
    </w:p>
    <w:p w:rsidR="00F74849" w:rsidRPr="00B87F18" w:rsidRDefault="00F74849">
      <w:pPr>
        <w:pStyle w:val="mtrachead3"/>
        <w:keepNext w:val="0"/>
        <w:spacing w:after="60"/>
        <w:jc w:val="both"/>
        <w:outlineLvl w:val="9"/>
        <w:rPr>
          <w:rFonts w:ascii="Arial" w:hAnsi="Arial" w:cs="Arial"/>
          <w:snapToGrid/>
        </w:rPr>
      </w:pPr>
      <w:r w:rsidRPr="00B87F18">
        <w:rPr>
          <w:rFonts w:ascii="Arial" w:hAnsi="Arial" w:cs="Arial"/>
          <w:snapToGrid/>
        </w:rPr>
        <w:t>Side Effects</w:t>
      </w:r>
    </w:p>
    <w:p w:rsidR="00B87F18" w:rsidRDefault="005D5073" w:rsidP="005D5073">
      <w:pPr>
        <w:pStyle w:val="mtrachead3"/>
        <w:keepNext w:val="0"/>
        <w:spacing w:after="60"/>
        <w:jc w:val="both"/>
        <w:outlineLvl w:val="9"/>
        <w:rPr>
          <w:rFonts w:ascii="Arial" w:hAnsi="Arial" w:cs="Arial"/>
          <w:b w:val="0"/>
          <w:snapToGrid/>
        </w:rPr>
      </w:pPr>
      <w:r>
        <w:rPr>
          <w:rFonts w:ascii="Arial" w:hAnsi="Arial" w:cs="Arial"/>
          <w:b w:val="0"/>
          <w:snapToGrid/>
        </w:rPr>
        <w:t>Common a</w:t>
      </w:r>
      <w:r w:rsidR="00234580" w:rsidRPr="00B87F18">
        <w:rPr>
          <w:rFonts w:ascii="Arial" w:hAnsi="Arial" w:cs="Arial"/>
          <w:b w:val="0"/>
          <w:snapToGrid/>
        </w:rPr>
        <w:t xml:space="preserve">dverse events </w:t>
      </w:r>
      <w:r>
        <w:rPr>
          <w:rFonts w:ascii="Arial" w:hAnsi="Arial" w:cs="Arial"/>
          <w:b w:val="0"/>
          <w:snapToGrid/>
        </w:rPr>
        <w:t xml:space="preserve">(occurring in </w:t>
      </w:r>
      <w:r w:rsidRPr="005D5073">
        <w:rPr>
          <w:rFonts w:ascii="Arial" w:hAnsi="Arial" w:cs="Arial"/>
          <w:b w:val="0"/>
          <w:snapToGrid/>
        </w:rPr>
        <w:t>≥1/100 to &lt;1/10</w:t>
      </w:r>
      <w:r>
        <w:rPr>
          <w:rFonts w:ascii="Arial" w:hAnsi="Arial" w:cs="Arial"/>
          <w:b w:val="0"/>
          <w:snapToGrid/>
        </w:rPr>
        <w:t xml:space="preserve"> of patients) as listed in the SPC: depression; dizziness; headache; dyspnoea; abdominal pain and distension; diarrhoea, nausea, vomiting, ascites, rashes, pruritus, mucle spasms, arthralgia, peripheral o</w:t>
      </w:r>
      <w:r w:rsidR="005249FE">
        <w:rPr>
          <w:rFonts w:ascii="Arial" w:hAnsi="Arial" w:cs="Arial"/>
          <w:b w:val="0"/>
          <w:snapToGrid/>
        </w:rPr>
        <w:t>edema.  See SPC for full details of adverse events.</w:t>
      </w:r>
    </w:p>
    <w:p w:rsidR="007C77CB" w:rsidRPr="00BA6026" w:rsidRDefault="007C77CB" w:rsidP="007C77CB">
      <w:pPr>
        <w:spacing w:after="120"/>
        <w:jc w:val="both"/>
        <w:rPr>
          <w:rFonts w:ascii="Arial" w:hAnsi="Arial" w:cs="Arial"/>
          <w:i/>
        </w:rPr>
      </w:pPr>
      <w:r>
        <w:rPr>
          <w:rFonts w:ascii="Arial" w:hAnsi="Arial" w:cs="Arial"/>
          <w:i/>
        </w:rPr>
        <w:t>Rifaximin</w:t>
      </w:r>
      <w:r w:rsidRPr="00BA6026">
        <w:rPr>
          <w:rFonts w:ascii="Arial" w:hAnsi="Arial" w:cs="Arial"/>
          <w:i/>
        </w:rPr>
        <w:t xml:space="preserve"> was launched in 201</w:t>
      </w:r>
      <w:r>
        <w:rPr>
          <w:rFonts w:ascii="Arial" w:hAnsi="Arial" w:cs="Arial"/>
          <w:i/>
        </w:rPr>
        <w:t xml:space="preserve">3 </w:t>
      </w:r>
      <w:r w:rsidRPr="00BA6026">
        <w:rPr>
          <w:rFonts w:ascii="Arial" w:hAnsi="Arial" w:cs="Arial"/>
          <w:i/>
        </w:rPr>
        <w:t xml:space="preserve">and has black triangle </w:t>
      </w:r>
      <w:r w:rsidRPr="00BA6026">
        <w:rPr>
          <w:rFonts w:ascii="Arial" w:hAnsi="Arial" w:cs="Arial"/>
        </w:rPr>
        <w:t>(▼)</w:t>
      </w:r>
      <w:r w:rsidRPr="00BA6026">
        <w:rPr>
          <w:rFonts w:ascii="Arial" w:hAnsi="Arial" w:cs="Arial"/>
          <w:i/>
        </w:rPr>
        <w:t xml:space="preserve"> status.  </w:t>
      </w:r>
      <w:r w:rsidRPr="00BA6026">
        <w:rPr>
          <w:rFonts w:ascii="Arial" w:hAnsi="Arial" w:cs="Arial"/>
          <w:b/>
          <w:i/>
        </w:rPr>
        <w:t>All</w:t>
      </w:r>
      <w:r w:rsidRPr="00BA6026">
        <w:rPr>
          <w:rFonts w:ascii="Arial" w:hAnsi="Arial" w:cs="Arial"/>
          <w:i/>
        </w:rPr>
        <w:t xml:space="preserve"> suspected reactions (including those </w:t>
      </w:r>
      <w:proofErr w:type="gramStart"/>
      <w:r w:rsidRPr="00BA6026">
        <w:rPr>
          <w:rFonts w:ascii="Arial" w:hAnsi="Arial" w:cs="Arial"/>
          <w:i/>
        </w:rPr>
        <w:t>considered</w:t>
      </w:r>
      <w:proofErr w:type="gramEnd"/>
      <w:r w:rsidRPr="00BA6026">
        <w:rPr>
          <w:rFonts w:ascii="Arial" w:hAnsi="Arial" w:cs="Arial"/>
          <w:i/>
        </w:rPr>
        <w:t xml:space="preserve"> not to be serious and even where the causal link is uncertain) should be reported to the </w:t>
      </w:r>
      <w:r>
        <w:rPr>
          <w:rFonts w:ascii="Arial" w:hAnsi="Arial" w:cs="Arial"/>
          <w:i/>
        </w:rPr>
        <w:t>MHRA</w:t>
      </w:r>
      <w:r w:rsidRPr="00BA6026">
        <w:rPr>
          <w:rFonts w:ascii="Arial" w:hAnsi="Arial" w:cs="Arial"/>
          <w:i/>
        </w:rPr>
        <w:t>.</w:t>
      </w:r>
    </w:p>
    <w:p w:rsidR="00F74849" w:rsidRPr="00B87F18" w:rsidRDefault="00F74849">
      <w:pPr>
        <w:spacing w:after="60"/>
        <w:jc w:val="both"/>
        <w:rPr>
          <w:rFonts w:ascii="Arial" w:hAnsi="Arial" w:cs="Arial"/>
          <w:b/>
        </w:rPr>
      </w:pPr>
      <w:r w:rsidRPr="00B87F18">
        <w:rPr>
          <w:rFonts w:ascii="Arial" w:hAnsi="Arial" w:cs="Arial"/>
          <w:b/>
        </w:rPr>
        <w:t>Drug Interactions</w:t>
      </w:r>
    </w:p>
    <w:p w:rsidR="008B631D" w:rsidRDefault="00EA345D" w:rsidP="00F73A00">
      <w:pPr>
        <w:jc w:val="both"/>
        <w:rPr>
          <w:rFonts w:ascii="Arial" w:hAnsi="Arial" w:cs="Arial"/>
          <w:lang w:val="en-US"/>
        </w:rPr>
      </w:pPr>
      <w:r>
        <w:rPr>
          <w:rFonts w:ascii="Arial" w:hAnsi="Arial" w:cs="Arial"/>
          <w:lang w:val="en-US"/>
        </w:rPr>
        <w:t xml:space="preserve">The SPC </w:t>
      </w:r>
      <w:r w:rsidR="005D5073">
        <w:rPr>
          <w:rFonts w:ascii="Arial" w:hAnsi="Arial" w:cs="Arial"/>
          <w:lang w:val="en-US"/>
        </w:rPr>
        <w:t xml:space="preserve">states that whilst studies in healthy subjects have shown no significant </w:t>
      </w:r>
      <w:r w:rsidR="00F73A00">
        <w:rPr>
          <w:rFonts w:ascii="Arial" w:hAnsi="Arial" w:cs="Arial"/>
          <w:lang w:val="en-US"/>
        </w:rPr>
        <w:t>interaction, in</w:t>
      </w:r>
      <w:r w:rsidR="005D5073" w:rsidRPr="005D5073">
        <w:rPr>
          <w:rFonts w:ascii="Arial" w:hAnsi="Arial" w:cs="Arial"/>
          <w:lang w:val="en-US"/>
        </w:rPr>
        <w:t xml:space="preserve"> hepatic impaired patients it cannot be excluded that rifaximin may decrease the exposure of concomitant CYP3A4 substrates administered (e.g. warfarin, antiepileptics, antiarrhythmics)</w:t>
      </w:r>
      <w:r w:rsidR="005249FE">
        <w:rPr>
          <w:rFonts w:ascii="Arial" w:hAnsi="Arial" w:cs="Arial"/>
          <w:lang w:val="en-US"/>
        </w:rPr>
        <w:t xml:space="preserve">.  </w:t>
      </w:r>
      <w:r w:rsidR="00F73A00" w:rsidRPr="00F73A00">
        <w:rPr>
          <w:rFonts w:ascii="Arial" w:hAnsi="Arial" w:cs="Arial"/>
          <w:lang w:val="en-US"/>
        </w:rPr>
        <w:t xml:space="preserve">An </w:t>
      </w:r>
      <w:r w:rsidR="00F73A00" w:rsidRPr="009C08A4">
        <w:rPr>
          <w:rFonts w:ascii="Arial" w:hAnsi="Arial" w:cs="Arial"/>
          <w:i/>
          <w:lang w:val="en-US"/>
        </w:rPr>
        <w:t>in vitro</w:t>
      </w:r>
      <w:r w:rsidR="00F73A00" w:rsidRPr="00F73A00">
        <w:rPr>
          <w:rFonts w:ascii="Arial" w:hAnsi="Arial" w:cs="Arial"/>
          <w:lang w:val="en-US"/>
        </w:rPr>
        <w:t xml:space="preserve"> study </w:t>
      </w:r>
      <w:r w:rsidR="00F73A00">
        <w:rPr>
          <w:rFonts w:ascii="Arial" w:hAnsi="Arial" w:cs="Arial"/>
          <w:lang w:val="en-US"/>
        </w:rPr>
        <w:t xml:space="preserve">has </w:t>
      </w:r>
      <w:r w:rsidR="00F73A00" w:rsidRPr="00F73A00">
        <w:rPr>
          <w:rFonts w:ascii="Arial" w:hAnsi="Arial" w:cs="Arial"/>
          <w:lang w:val="en-US"/>
        </w:rPr>
        <w:t>suggested that rifaximin is a moderate substrate of P-</w:t>
      </w:r>
      <w:proofErr w:type="gramStart"/>
      <w:r w:rsidR="00F73A00" w:rsidRPr="00F73A00">
        <w:rPr>
          <w:rFonts w:ascii="Arial" w:hAnsi="Arial" w:cs="Arial"/>
          <w:lang w:val="en-US"/>
        </w:rPr>
        <w:t>glycoprotein(</w:t>
      </w:r>
      <w:proofErr w:type="gramEnd"/>
      <w:r w:rsidR="00F73A00" w:rsidRPr="00F73A00">
        <w:rPr>
          <w:rFonts w:ascii="Arial" w:hAnsi="Arial" w:cs="Arial"/>
          <w:lang w:val="en-US"/>
        </w:rPr>
        <w:t xml:space="preserve">P-gp) and </w:t>
      </w:r>
      <w:r w:rsidR="005249FE">
        <w:rPr>
          <w:rFonts w:ascii="Arial" w:hAnsi="Arial" w:cs="Arial"/>
          <w:lang w:val="en-US"/>
        </w:rPr>
        <w:t xml:space="preserve">is </w:t>
      </w:r>
      <w:r w:rsidR="00F73A00" w:rsidRPr="00F73A00">
        <w:rPr>
          <w:rFonts w:ascii="Arial" w:hAnsi="Arial" w:cs="Arial"/>
          <w:lang w:val="en-US"/>
        </w:rPr>
        <w:t xml:space="preserve">metabolized by CYP3A4. It is unknown whether concomitant </w:t>
      </w:r>
      <w:proofErr w:type="gramStart"/>
      <w:r w:rsidR="00F73A00" w:rsidRPr="00F73A00">
        <w:rPr>
          <w:rFonts w:ascii="Arial" w:hAnsi="Arial" w:cs="Arial"/>
          <w:lang w:val="en-US"/>
        </w:rPr>
        <w:t>drugs which inhibit P-gp and/or CYP3A4</w:t>
      </w:r>
      <w:proofErr w:type="gramEnd"/>
      <w:r w:rsidR="00F73A00" w:rsidRPr="00F73A00">
        <w:rPr>
          <w:rFonts w:ascii="Arial" w:hAnsi="Arial" w:cs="Arial"/>
          <w:lang w:val="en-US"/>
        </w:rPr>
        <w:t xml:space="preserve"> can increase systemic exposure of rifaximin.</w:t>
      </w:r>
    </w:p>
    <w:p w:rsidR="00EA345D" w:rsidRPr="00B87F18" w:rsidRDefault="00EA345D" w:rsidP="008B631D">
      <w:pPr>
        <w:jc w:val="both"/>
        <w:rPr>
          <w:rFonts w:ascii="Arial" w:hAnsi="Arial" w:cs="Arial"/>
          <w:lang w:val="en-US"/>
        </w:rPr>
      </w:pPr>
    </w:p>
    <w:p w:rsidR="00F74849" w:rsidRPr="00B87F18" w:rsidRDefault="00F74849" w:rsidP="00DF5556">
      <w:pPr>
        <w:pStyle w:val="mtrachead3"/>
        <w:keepNext w:val="0"/>
        <w:spacing w:after="60"/>
        <w:jc w:val="both"/>
        <w:outlineLvl w:val="9"/>
        <w:rPr>
          <w:rFonts w:ascii="Arial" w:hAnsi="Arial" w:cs="Arial"/>
          <w:snapToGrid/>
        </w:rPr>
      </w:pPr>
      <w:r w:rsidRPr="00B87F18">
        <w:rPr>
          <w:rFonts w:ascii="Arial" w:hAnsi="Arial" w:cs="Arial"/>
          <w:snapToGrid/>
        </w:rPr>
        <w:t>Cost</w:t>
      </w:r>
    </w:p>
    <w:p w:rsidR="00DF5556" w:rsidRPr="00B87F18" w:rsidRDefault="006E7178" w:rsidP="008B631D">
      <w:pPr>
        <w:keepNext/>
        <w:jc w:val="both"/>
        <w:outlineLvl w:val="1"/>
        <w:rPr>
          <w:rFonts w:ascii="Arial" w:hAnsi="Arial" w:cs="Arial"/>
          <w:lang w:val="en-US"/>
        </w:rPr>
      </w:pPr>
      <w:r w:rsidRPr="00B87F18">
        <w:rPr>
          <w:rFonts w:ascii="Arial" w:hAnsi="Arial" w:cs="Arial"/>
        </w:rPr>
        <w:t xml:space="preserve">At current prices, the cost of one year’s treatment with </w:t>
      </w:r>
      <w:r w:rsidR="00D8402C">
        <w:rPr>
          <w:rFonts w:ascii="Arial" w:hAnsi="Arial" w:cs="Arial"/>
        </w:rPr>
        <w:t xml:space="preserve">rifaximin 550 mg tablets (one table, twice daily) </w:t>
      </w:r>
      <w:r w:rsidRPr="00B87F18">
        <w:rPr>
          <w:rFonts w:ascii="Arial" w:hAnsi="Arial" w:cs="Arial"/>
        </w:rPr>
        <w:t>is £</w:t>
      </w:r>
      <w:r w:rsidR="00F73A00">
        <w:rPr>
          <w:rFonts w:ascii="Arial" w:hAnsi="Arial" w:cs="Arial"/>
        </w:rPr>
        <w:t>3379</w:t>
      </w:r>
      <w:r w:rsidR="00D8402C">
        <w:rPr>
          <w:rFonts w:ascii="Arial" w:hAnsi="Arial" w:cs="Arial"/>
        </w:rPr>
        <w:t xml:space="preserve"> (</w:t>
      </w:r>
      <w:r w:rsidR="00D8402C" w:rsidRPr="00D8402C">
        <w:rPr>
          <w:rFonts w:ascii="Arial" w:hAnsi="Arial" w:cs="Arial"/>
          <w:i/>
        </w:rPr>
        <w:t xml:space="preserve">Drug Tariff, </w:t>
      </w:r>
      <w:r w:rsidR="00134118">
        <w:rPr>
          <w:rFonts w:ascii="Arial" w:hAnsi="Arial" w:cs="Arial"/>
          <w:i/>
        </w:rPr>
        <w:t>Mar</w:t>
      </w:r>
      <w:r w:rsidR="00D8402C" w:rsidRPr="00D8402C">
        <w:rPr>
          <w:rFonts w:ascii="Arial" w:hAnsi="Arial" w:cs="Arial"/>
          <w:i/>
        </w:rPr>
        <w:t>-14</w:t>
      </w:r>
      <w:r w:rsidR="00D8402C">
        <w:rPr>
          <w:rFonts w:ascii="Arial" w:hAnsi="Arial" w:cs="Arial"/>
        </w:rPr>
        <w:t>)</w:t>
      </w:r>
      <w:r w:rsidRPr="00B87F18">
        <w:rPr>
          <w:rFonts w:ascii="Arial" w:hAnsi="Arial" w:cs="Arial"/>
        </w:rPr>
        <w:t>.</w:t>
      </w:r>
      <w:r w:rsidRPr="00B87F18">
        <w:rPr>
          <w:rFonts w:ascii="Arial" w:hAnsi="Arial" w:cs="Arial"/>
          <w:lang w:val="en-US"/>
        </w:rPr>
        <w:t xml:space="preserve"> </w:t>
      </w:r>
    </w:p>
    <w:p w:rsidR="008B631D" w:rsidRPr="00B87F18" w:rsidRDefault="008B631D" w:rsidP="008B631D">
      <w:pPr>
        <w:keepNext/>
        <w:jc w:val="both"/>
        <w:outlineLvl w:val="1"/>
        <w:rPr>
          <w:rFonts w:ascii="Arial" w:hAnsi="Arial" w:cs="Arial"/>
          <w:color w:val="000000"/>
          <w:lang w:val="en-US"/>
        </w:rPr>
      </w:pPr>
    </w:p>
    <w:p w:rsidR="00F74849" w:rsidRPr="00B87F18" w:rsidRDefault="00F74849">
      <w:pPr>
        <w:pStyle w:val="mtrachead5"/>
        <w:numPr>
          <w:ilvl w:val="0"/>
          <w:numId w:val="0"/>
        </w:numPr>
        <w:spacing w:after="60"/>
        <w:rPr>
          <w:rFonts w:ascii="Arial" w:hAnsi="Arial" w:cs="Arial"/>
          <w:b/>
          <w:snapToGrid/>
        </w:rPr>
      </w:pPr>
      <w:r w:rsidRPr="00B87F18">
        <w:rPr>
          <w:rFonts w:ascii="Arial" w:hAnsi="Arial" w:cs="Arial"/>
          <w:b/>
          <w:snapToGrid/>
        </w:rPr>
        <w:t>References</w:t>
      </w:r>
    </w:p>
    <w:p w:rsidR="00DF5556" w:rsidRPr="007C77CB" w:rsidRDefault="00DF5556">
      <w:pPr>
        <w:pStyle w:val="mtrachead5"/>
        <w:numPr>
          <w:ilvl w:val="0"/>
          <w:numId w:val="0"/>
        </w:numPr>
        <w:spacing w:after="60"/>
        <w:rPr>
          <w:rFonts w:ascii="Arial" w:hAnsi="Arial" w:cs="Arial"/>
          <w:snapToGrid/>
          <w:sz w:val="18"/>
        </w:rPr>
      </w:pPr>
      <w:r w:rsidRPr="007C77CB">
        <w:rPr>
          <w:rFonts w:ascii="Arial" w:hAnsi="Arial" w:cs="Arial"/>
          <w:snapToGrid/>
          <w:sz w:val="18"/>
        </w:rPr>
        <w:t>MTRAC verdict and summary</w:t>
      </w:r>
      <w:r w:rsidR="008B631D" w:rsidRPr="007C77CB">
        <w:rPr>
          <w:rFonts w:ascii="Arial" w:hAnsi="Arial" w:cs="Arial"/>
          <w:snapToGrid/>
          <w:sz w:val="18"/>
        </w:rPr>
        <w:t xml:space="preserve"> sheet </w:t>
      </w:r>
      <w:r w:rsidR="00C827ED" w:rsidRPr="007C77CB">
        <w:rPr>
          <w:rFonts w:ascii="Arial" w:hAnsi="Arial" w:cs="Arial"/>
          <w:snapToGrid/>
          <w:sz w:val="18"/>
        </w:rPr>
        <w:t xml:space="preserve">for </w:t>
      </w:r>
      <w:r w:rsidR="0043006A" w:rsidRPr="007C77CB">
        <w:rPr>
          <w:rFonts w:ascii="Arial" w:hAnsi="Arial" w:cs="Arial"/>
          <w:snapToGrid/>
          <w:sz w:val="18"/>
        </w:rPr>
        <w:t xml:space="preserve">rifaximin </w:t>
      </w:r>
      <w:r w:rsidR="00C827ED" w:rsidRPr="007C77CB">
        <w:rPr>
          <w:rFonts w:ascii="Arial" w:hAnsi="Arial" w:cs="Arial"/>
          <w:snapToGrid/>
          <w:sz w:val="18"/>
        </w:rPr>
        <w:t xml:space="preserve">for prevention of </w:t>
      </w:r>
      <w:r w:rsidR="0043006A" w:rsidRPr="007C77CB">
        <w:rPr>
          <w:rFonts w:ascii="Arial" w:hAnsi="Arial" w:cs="Arial"/>
          <w:snapToGrid/>
          <w:sz w:val="18"/>
        </w:rPr>
        <w:t xml:space="preserve">recurrence of episodes of </w:t>
      </w:r>
      <w:r w:rsidR="009C08A4" w:rsidRPr="007C77CB">
        <w:rPr>
          <w:rFonts w:ascii="Arial" w:hAnsi="Arial" w:cs="Arial"/>
          <w:snapToGrid/>
          <w:sz w:val="18"/>
        </w:rPr>
        <w:t>overt</w:t>
      </w:r>
      <w:r w:rsidR="0043006A" w:rsidRPr="007C77CB">
        <w:rPr>
          <w:rFonts w:ascii="Arial" w:hAnsi="Arial" w:cs="Arial"/>
          <w:snapToGrid/>
          <w:sz w:val="18"/>
        </w:rPr>
        <w:t xml:space="preserve"> hepatic encephalopathy (</w:t>
      </w:r>
      <w:r w:rsidR="0013503C" w:rsidRPr="007C77CB">
        <w:rPr>
          <w:rFonts w:ascii="Arial" w:hAnsi="Arial" w:cs="Arial"/>
          <w:snapToGrid/>
          <w:sz w:val="18"/>
        </w:rPr>
        <w:t>Jan</w:t>
      </w:r>
      <w:r w:rsidR="0043006A" w:rsidRPr="007C77CB">
        <w:rPr>
          <w:rFonts w:ascii="Arial" w:hAnsi="Arial" w:cs="Arial"/>
          <w:snapToGrid/>
          <w:sz w:val="18"/>
        </w:rPr>
        <w:t>-14)</w:t>
      </w:r>
    </w:p>
    <w:p w:rsidR="00DF5556" w:rsidRPr="007C77CB" w:rsidRDefault="0043006A">
      <w:pPr>
        <w:pStyle w:val="mtrachead5"/>
        <w:numPr>
          <w:ilvl w:val="0"/>
          <w:numId w:val="0"/>
        </w:numPr>
        <w:spacing w:after="60"/>
        <w:rPr>
          <w:rFonts w:ascii="Arial" w:hAnsi="Arial" w:cs="Arial"/>
          <w:snapToGrid/>
          <w:sz w:val="18"/>
        </w:rPr>
      </w:pPr>
      <w:proofErr w:type="gramStart"/>
      <w:r w:rsidRPr="007C77CB">
        <w:rPr>
          <w:rFonts w:ascii="Arial" w:hAnsi="Arial" w:cs="Arial"/>
          <w:snapToGrid/>
          <w:sz w:val="18"/>
        </w:rPr>
        <w:t xml:space="preserve">Targaxan (rifaximin) 550 mg </w:t>
      </w:r>
      <w:r w:rsidR="009C08A4" w:rsidRPr="007C77CB">
        <w:rPr>
          <w:rFonts w:ascii="Arial" w:hAnsi="Arial" w:cs="Arial"/>
          <w:snapToGrid/>
          <w:sz w:val="18"/>
        </w:rPr>
        <w:t>film-</w:t>
      </w:r>
      <w:r w:rsidRPr="007C77CB">
        <w:rPr>
          <w:rFonts w:ascii="Arial" w:hAnsi="Arial" w:cs="Arial"/>
          <w:snapToGrid/>
          <w:sz w:val="18"/>
        </w:rPr>
        <w:t>coated tablets.</w:t>
      </w:r>
      <w:proofErr w:type="gramEnd"/>
      <w:r w:rsidRPr="007C77CB">
        <w:rPr>
          <w:rFonts w:ascii="Arial" w:hAnsi="Arial" w:cs="Arial"/>
          <w:snapToGrid/>
          <w:sz w:val="18"/>
        </w:rPr>
        <w:t xml:space="preserve"> Norgine Limited. </w:t>
      </w:r>
      <w:proofErr w:type="gramStart"/>
      <w:r w:rsidR="00B17368" w:rsidRPr="007C77CB">
        <w:rPr>
          <w:rFonts w:ascii="Arial" w:hAnsi="Arial" w:cs="Arial"/>
          <w:snapToGrid/>
          <w:sz w:val="18"/>
        </w:rPr>
        <w:t>Summary o</w:t>
      </w:r>
      <w:r w:rsidR="009C08A4" w:rsidRPr="007C77CB">
        <w:rPr>
          <w:rFonts w:ascii="Arial" w:hAnsi="Arial" w:cs="Arial"/>
          <w:snapToGrid/>
          <w:sz w:val="18"/>
        </w:rPr>
        <w:t>f Product Characteristics.</w:t>
      </w:r>
      <w:proofErr w:type="gramEnd"/>
      <w:r w:rsidR="009C08A4" w:rsidRPr="007C77CB">
        <w:rPr>
          <w:rFonts w:ascii="Arial" w:hAnsi="Arial" w:cs="Arial"/>
          <w:snapToGrid/>
          <w:sz w:val="18"/>
        </w:rPr>
        <w:t xml:space="preserve"> </w:t>
      </w:r>
      <w:proofErr w:type="gramStart"/>
      <w:r w:rsidRPr="007C77CB">
        <w:rPr>
          <w:rFonts w:ascii="Arial" w:hAnsi="Arial" w:cs="Arial"/>
          <w:snapToGrid/>
          <w:sz w:val="18"/>
        </w:rPr>
        <w:t xml:space="preserve">2013 (available at </w:t>
      </w:r>
      <w:hyperlink r:id="rId9" w:history="1">
        <w:r w:rsidR="009C08A4" w:rsidRPr="007C77CB">
          <w:rPr>
            <w:rStyle w:val="Hyperlink"/>
            <w:rFonts w:ascii="Arial" w:hAnsi="Arial" w:cs="Arial"/>
            <w:snapToGrid/>
            <w:sz w:val="18"/>
          </w:rPr>
          <w:t>https://www.medicines.org.uk/emc/</w:t>
        </w:r>
      </w:hyperlink>
      <w:r w:rsidRPr="007C77CB">
        <w:rPr>
          <w:rFonts w:ascii="Arial" w:hAnsi="Arial" w:cs="Arial"/>
          <w:snapToGrid/>
          <w:sz w:val="18"/>
        </w:rPr>
        <w:t>)</w:t>
      </w:r>
      <w:r w:rsidR="00D06117" w:rsidRPr="007C77CB">
        <w:rPr>
          <w:rFonts w:ascii="Arial" w:hAnsi="Arial" w:cs="Arial"/>
          <w:snapToGrid/>
          <w:sz w:val="18"/>
        </w:rPr>
        <w:t>.</w:t>
      </w:r>
      <w:proofErr w:type="gramEnd"/>
    </w:p>
    <w:sectPr w:rsidR="00DF5556" w:rsidRPr="007C77CB">
      <w:headerReference w:type="default" r:id="rId10"/>
      <w:footerReference w:type="default" r:id="rId11"/>
      <w:footnotePr>
        <w:numFmt w:val="chicago"/>
      </w:footnotePr>
      <w:type w:val="continuous"/>
      <w:pgSz w:w="11907" w:h="16840" w:code="9"/>
      <w:pgMar w:top="907" w:right="1134" w:bottom="306" w:left="1134" w:header="397" w:footer="39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EC4" w:rsidRDefault="006B1EC4">
      <w:r>
        <w:separator/>
      </w:r>
    </w:p>
  </w:endnote>
  <w:endnote w:type="continuationSeparator" w:id="0">
    <w:p w:rsidR="006B1EC4" w:rsidRDefault="006B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Light">
    <w:altName w:val="Calibri"/>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5D" w:rsidRDefault="00EA345D">
    <w:pPr>
      <w:pStyle w:val="mtrachead6"/>
      <w:jc w:val="center"/>
      <w:rPr>
        <w:rFonts w:ascii="Arial" w:hAnsi="Arial"/>
        <w:snapToGrid/>
        <w:spacing w:val="0"/>
        <w:sz w:val="15"/>
      </w:rPr>
    </w:pPr>
    <w:r>
      <w:rPr>
        <w:rFonts w:ascii="Arial" w:hAnsi="Arial"/>
        <w:snapToGrid/>
        <w:spacing w:val="0"/>
        <w:sz w:val="15"/>
      </w:rPr>
      <w:t xml:space="preserve">This ESCA should be read in conjunction with the Summary of Product Characteristics (SPC) and the </w:t>
    </w:r>
    <w:r>
      <w:rPr>
        <w:rFonts w:ascii="Arial" w:hAnsi="Arial"/>
        <w:sz w:val="15"/>
      </w:rPr>
      <w:t xml:space="preserve">Midlands Therapeutics Review and Advisory Committee (MTRAC) verdict and summary sheet </w:t>
    </w:r>
    <w:r w:rsidR="009C08A4">
      <w:rPr>
        <w:rFonts w:ascii="Arial" w:hAnsi="Arial"/>
        <w:sz w:val="15"/>
      </w:rPr>
      <w:t>for rifaximin.</w:t>
    </w:r>
  </w:p>
  <w:p w:rsidR="00EA345D" w:rsidRDefault="00EA345D">
    <w:pPr>
      <w:jc w:val="center"/>
      <w:rPr>
        <w:rFonts w:ascii="Arial" w:hAnsi="Arial"/>
        <w:sz w:val="8"/>
      </w:rPr>
    </w:pPr>
  </w:p>
  <w:p w:rsidR="00EA345D" w:rsidRDefault="00EA345D">
    <w:pPr>
      <w:jc w:val="center"/>
      <w:rPr>
        <w:rFonts w:ascii="Arial" w:hAnsi="Arial"/>
        <w:sz w:val="15"/>
      </w:rPr>
    </w:pPr>
    <w:r>
      <w:rPr>
        <w:rFonts w:ascii="Arial" w:hAnsi="Arial"/>
        <w:sz w:val="15"/>
      </w:rPr>
      <w:t xml:space="preserve">Template </w:t>
    </w:r>
    <w:r w:rsidR="00A776EA">
      <w:rPr>
        <w:rFonts w:ascii="Arial" w:hAnsi="Arial"/>
        <w:sz w:val="15"/>
      </w:rPr>
      <w:t xml:space="preserve">created by </w:t>
    </w:r>
    <w:r>
      <w:rPr>
        <w:rFonts w:ascii="Arial" w:hAnsi="Arial"/>
        <w:sz w:val="15"/>
      </w:rPr>
      <w:t xml:space="preserve">MTRAC in February </w:t>
    </w:r>
    <w:r w:rsidR="004432A4">
      <w:rPr>
        <w:rFonts w:ascii="Arial" w:hAnsi="Arial"/>
        <w:sz w:val="15"/>
      </w:rPr>
      <w:t>2014</w:t>
    </w:r>
    <w:r>
      <w:rPr>
        <w:rFonts w:ascii="Arial" w:hAnsi="Arial"/>
        <w:sz w:val="15"/>
      </w:rPr>
      <w:t xml:space="preserve"> for local adaptation and adoption.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EC4" w:rsidRDefault="006B1EC4">
      <w:r>
        <w:separator/>
      </w:r>
    </w:p>
  </w:footnote>
  <w:footnote w:type="continuationSeparator" w:id="0">
    <w:p w:rsidR="006B1EC4" w:rsidRDefault="006B1E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5D" w:rsidRDefault="00EA345D">
    <w:pPr>
      <w:pStyle w:val="Header"/>
      <w:jc w:val="center"/>
      <w:rPr>
        <w:rFonts w:ascii="Arial" w:hAnsi="Arial"/>
      </w:rPr>
    </w:pPr>
    <w:r>
      <w:rPr>
        <w:rFonts w:ascii="Arial" w:hAnsi="Arial"/>
      </w:rPr>
      <w:t>TEMPLATE EFFECTIVE SHARED CARE AGREEMENT (</w:t>
    </w:r>
    <w:r w:rsidR="00BE2395">
      <w:rPr>
        <w:rFonts w:ascii="Arial" w:hAnsi="Arial"/>
      </w:rPr>
      <w:t>rifaximin for prevention of recurrence of hepatic encephalopathy</w:t>
    </w:r>
    <w:r>
      <w:rPr>
        <w:rFonts w:ascii="Arial" w:hAnsi="Arial"/>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49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7BE2FBB"/>
    <w:multiLevelType w:val="hybridMultilevel"/>
    <w:tmpl w:val="C8DC1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BA07D0"/>
    <w:multiLevelType w:val="singleLevel"/>
    <w:tmpl w:val="62420584"/>
    <w:lvl w:ilvl="0">
      <w:start w:val="1"/>
      <w:numFmt w:val="decimal"/>
      <w:lvlText w:val="%1."/>
      <w:lvlJc w:val="left"/>
      <w:pPr>
        <w:tabs>
          <w:tab w:val="num" w:pos="360"/>
        </w:tabs>
        <w:ind w:left="360" w:hanging="360"/>
      </w:pPr>
    </w:lvl>
  </w:abstractNum>
  <w:abstractNum w:abstractNumId="3">
    <w:nsid w:val="094953B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0B114123"/>
    <w:multiLevelType w:val="singleLevel"/>
    <w:tmpl w:val="0809000F"/>
    <w:lvl w:ilvl="0">
      <w:start w:val="1"/>
      <w:numFmt w:val="decimal"/>
      <w:lvlText w:val="%1."/>
      <w:lvlJc w:val="left"/>
      <w:pPr>
        <w:tabs>
          <w:tab w:val="num" w:pos="360"/>
        </w:tabs>
        <w:ind w:left="360" w:hanging="360"/>
      </w:pPr>
    </w:lvl>
  </w:abstractNum>
  <w:abstractNum w:abstractNumId="5">
    <w:nsid w:val="0C2342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nsid w:val="0D9A7457"/>
    <w:multiLevelType w:val="singleLevel"/>
    <w:tmpl w:val="20DE4446"/>
    <w:lvl w:ilvl="0">
      <w:start w:val="1"/>
      <w:numFmt w:val="decimal"/>
      <w:lvlText w:val="%1"/>
      <w:lvlJc w:val="left"/>
      <w:pPr>
        <w:tabs>
          <w:tab w:val="num" w:pos="360"/>
        </w:tabs>
        <w:ind w:left="340" w:hanging="340"/>
      </w:pPr>
      <w:rPr>
        <w:b w:val="0"/>
        <w:i w:val="0"/>
      </w:rPr>
    </w:lvl>
  </w:abstractNum>
  <w:abstractNum w:abstractNumId="7">
    <w:nsid w:val="0FFA26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006707B"/>
    <w:multiLevelType w:val="singleLevel"/>
    <w:tmpl w:val="C3ECB4E6"/>
    <w:lvl w:ilvl="0">
      <w:start w:val="1"/>
      <w:numFmt w:val="decimal"/>
      <w:lvlText w:val="(%1)"/>
      <w:lvlJc w:val="left"/>
      <w:pPr>
        <w:tabs>
          <w:tab w:val="num" w:pos="432"/>
        </w:tabs>
        <w:ind w:left="432" w:hanging="432"/>
      </w:pPr>
      <w:rPr>
        <w:rFonts w:hint="default"/>
      </w:rPr>
    </w:lvl>
  </w:abstractNum>
  <w:abstractNum w:abstractNumId="9">
    <w:nsid w:val="17716CB8"/>
    <w:multiLevelType w:val="hybridMultilevel"/>
    <w:tmpl w:val="2EDC1CB4"/>
    <w:lvl w:ilvl="0" w:tplc="3930355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971349"/>
    <w:multiLevelType w:val="singleLevel"/>
    <w:tmpl w:val="FD288BEA"/>
    <w:lvl w:ilvl="0">
      <w:start w:val="1"/>
      <w:numFmt w:val="decimal"/>
      <w:lvlText w:val="(%1)"/>
      <w:lvlJc w:val="left"/>
      <w:pPr>
        <w:tabs>
          <w:tab w:val="num" w:pos="360"/>
        </w:tabs>
        <w:ind w:left="360" w:hanging="360"/>
      </w:pPr>
      <w:rPr>
        <w:rFonts w:hint="default"/>
      </w:rPr>
    </w:lvl>
  </w:abstractNum>
  <w:abstractNum w:abstractNumId="11">
    <w:nsid w:val="248B1AF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nsid w:val="27F47E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D6D6FA3"/>
    <w:multiLevelType w:val="singleLevel"/>
    <w:tmpl w:val="DE32BDFE"/>
    <w:lvl w:ilvl="0">
      <w:start w:val="1"/>
      <w:numFmt w:val="decimal"/>
      <w:lvlText w:val="%1"/>
      <w:lvlJc w:val="left"/>
      <w:pPr>
        <w:tabs>
          <w:tab w:val="num" w:pos="360"/>
        </w:tabs>
        <w:ind w:left="340" w:hanging="340"/>
      </w:pPr>
      <w:rPr>
        <w:b w:val="0"/>
        <w:i w:val="0"/>
      </w:rPr>
    </w:lvl>
  </w:abstractNum>
  <w:abstractNum w:abstractNumId="14">
    <w:nsid w:val="369C3E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69E7A67"/>
    <w:multiLevelType w:val="singleLevel"/>
    <w:tmpl w:val="5DF047E4"/>
    <w:lvl w:ilvl="0">
      <w:start w:val="14"/>
      <w:numFmt w:val="decimal"/>
      <w:lvlText w:val="%1."/>
      <w:lvlJc w:val="left"/>
      <w:pPr>
        <w:tabs>
          <w:tab w:val="num" w:pos="540"/>
        </w:tabs>
        <w:ind w:left="540" w:hanging="456"/>
      </w:pPr>
      <w:rPr>
        <w:rFonts w:hint="default"/>
      </w:rPr>
    </w:lvl>
  </w:abstractNum>
  <w:abstractNum w:abstractNumId="16">
    <w:nsid w:val="3BFB5ED7"/>
    <w:multiLevelType w:val="singleLevel"/>
    <w:tmpl w:val="1C5090A4"/>
    <w:lvl w:ilvl="0">
      <w:numFmt w:val="bullet"/>
      <w:lvlText w:val="-"/>
      <w:lvlJc w:val="left"/>
      <w:pPr>
        <w:tabs>
          <w:tab w:val="num" w:pos="360"/>
        </w:tabs>
        <w:ind w:left="340" w:hanging="340"/>
      </w:pPr>
      <w:rPr>
        <w:rFonts w:hint="default"/>
      </w:rPr>
    </w:lvl>
  </w:abstractNum>
  <w:abstractNum w:abstractNumId="17">
    <w:nsid w:val="3C345BA3"/>
    <w:multiLevelType w:val="hybridMultilevel"/>
    <w:tmpl w:val="6B0E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6139F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nsid w:val="434A25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37F1B0A"/>
    <w:multiLevelType w:val="hybridMultilevel"/>
    <w:tmpl w:val="06B2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0B3C59"/>
    <w:multiLevelType w:val="hybridMultilevel"/>
    <w:tmpl w:val="B18856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5D66E6"/>
    <w:multiLevelType w:val="hybridMultilevel"/>
    <w:tmpl w:val="8C4A70AE"/>
    <w:lvl w:ilvl="0" w:tplc="63041542">
      <w:start w:val="1"/>
      <w:numFmt w:val="decimal"/>
      <w:lvlText w:val="%1."/>
      <w:lvlJc w:val="left"/>
      <w:pPr>
        <w:tabs>
          <w:tab w:val="num" w:pos="720"/>
        </w:tabs>
        <w:ind w:left="720" w:hanging="360"/>
      </w:pPr>
      <w:rPr>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220A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29A11F6"/>
    <w:multiLevelType w:val="singleLevel"/>
    <w:tmpl w:val="9D7C4A7C"/>
    <w:lvl w:ilvl="0">
      <w:start w:val="1"/>
      <w:numFmt w:val="decimal"/>
      <w:lvlText w:val="%1."/>
      <w:lvlJc w:val="left"/>
      <w:pPr>
        <w:tabs>
          <w:tab w:val="num" w:pos="552"/>
        </w:tabs>
        <w:ind w:left="552" w:hanging="360"/>
      </w:pPr>
      <w:rPr>
        <w:rFonts w:hint="default"/>
      </w:rPr>
    </w:lvl>
  </w:abstractNum>
  <w:abstractNum w:abstractNumId="25">
    <w:nsid w:val="5579538E"/>
    <w:multiLevelType w:val="singleLevel"/>
    <w:tmpl w:val="5DF047E4"/>
    <w:lvl w:ilvl="0">
      <w:start w:val="16"/>
      <w:numFmt w:val="decimal"/>
      <w:lvlText w:val="%1."/>
      <w:lvlJc w:val="left"/>
      <w:pPr>
        <w:tabs>
          <w:tab w:val="num" w:pos="540"/>
        </w:tabs>
        <w:ind w:left="540" w:hanging="456"/>
      </w:pPr>
      <w:rPr>
        <w:rFonts w:hint="default"/>
      </w:rPr>
    </w:lvl>
  </w:abstractNum>
  <w:abstractNum w:abstractNumId="26">
    <w:nsid w:val="568B6C2F"/>
    <w:multiLevelType w:val="singleLevel"/>
    <w:tmpl w:val="20DE4446"/>
    <w:lvl w:ilvl="0">
      <w:start w:val="1"/>
      <w:numFmt w:val="decimal"/>
      <w:lvlText w:val="%1"/>
      <w:lvlJc w:val="left"/>
      <w:pPr>
        <w:tabs>
          <w:tab w:val="num" w:pos="360"/>
        </w:tabs>
        <w:ind w:left="340" w:hanging="340"/>
      </w:pPr>
      <w:rPr>
        <w:b w:val="0"/>
        <w:i w:val="0"/>
      </w:rPr>
    </w:lvl>
  </w:abstractNum>
  <w:abstractNum w:abstractNumId="27">
    <w:nsid w:val="65C63761"/>
    <w:multiLevelType w:val="singleLevel"/>
    <w:tmpl w:val="62420584"/>
    <w:lvl w:ilvl="0">
      <w:start w:val="10"/>
      <w:numFmt w:val="decimal"/>
      <w:lvlText w:val="%1."/>
      <w:lvlJc w:val="left"/>
      <w:pPr>
        <w:tabs>
          <w:tab w:val="num" w:pos="360"/>
        </w:tabs>
        <w:ind w:left="360" w:hanging="360"/>
      </w:pPr>
      <w:rPr>
        <w:rFonts w:hint="default"/>
      </w:rPr>
    </w:lvl>
  </w:abstractNum>
  <w:abstractNum w:abstractNumId="28">
    <w:nsid w:val="71BB6F1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9">
    <w:nsid w:val="73513F0B"/>
    <w:multiLevelType w:val="singleLevel"/>
    <w:tmpl w:val="0809000F"/>
    <w:lvl w:ilvl="0">
      <w:start w:val="1"/>
      <w:numFmt w:val="decimal"/>
      <w:lvlText w:val="%1."/>
      <w:lvlJc w:val="left"/>
      <w:pPr>
        <w:tabs>
          <w:tab w:val="num" w:pos="360"/>
        </w:tabs>
        <w:ind w:left="360" w:hanging="360"/>
      </w:pPr>
    </w:lvl>
  </w:abstractNum>
  <w:abstractNum w:abstractNumId="30">
    <w:nsid w:val="75520A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5965E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75C42A0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3">
    <w:nsid w:val="7C2440B4"/>
    <w:multiLevelType w:val="singleLevel"/>
    <w:tmpl w:val="5D9C7FFE"/>
    <w:lvl w:ilvl="0">
      <w:start w:val="1"/>
      <w:numFmt w:val="bullet"/>
      <w:lvlText w:val=""/>
      <w:lvlJc w:val="left"/>
      <w:pPr>
        <w:tabs>
          <w:tab w:val="num" w:pos="360"/>
        </w:tabs>
        <w:ind w:left="340" w:hanging="340"/>
      </w:pPr>
      <w:rPr>
        <w:rFonts w:ascii="Symbol" w:hAnsi="Symbol" w:hint="default"/>
      </w:rPr>
    </w:lvl>
  </w:abstractNum>
  <w:abstractNum w:abstractNumId="34">
    <w:nsid w:val="7E183CBB"/>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14"/>
  </w:num>
  <w:num w:numId="3">
    <w:abstractNumId w:val="2"/>
  </w:num>
  <w:num w:numId="4">
    <w:abstractNumId w:val="29"/>
  </w:num>
  <w:num w:numId="5">
    <w:abstractNumId w:val="24"/>
  </w:num>
  <w:num w:numId="6">
    <w:abstractNumId w:val="27"/>
  </w:num>
  <w:num w:numId="7">
    <w:abstractNumId w:val="25"/>
  </w:num>
  <w:num w:numId="8">
    <w:abstractNumId w:val="15"/>
  </w:num>
  <w:num w:numId="9">
    <w:abstractNumId w:val="11"/>
  </w:num>
  <w:num w:numId="10">
    <w:abstractNumId w:val="32"/>
  </w:num>
  <w:num w:numId="11">
    <w:abstractNumId w:val="28"/>
  </w:num>
  <w:num w:numId="12">
    <w:abstractNumId w:val="34"/>
  </w:num>
  <w:num w:numId="13">
    <w:abstractNumId w:val="5"/>
  </w:num>
  <w:num w:numId="14">
    <w:abstractNumId w:val="18"/>
  </w:num>
  <w:num w:numId="15">
    <w:abstractNumId w:val="3"/>
  </w:num>
  <w:num w:numId="16">
    <w:abstractNumId w:val="33"/>
  </w:num>
  <w:num w:numId="17">
    <w:abstractNumId w:val="10"/>
  </w:num>
  <w:num w:numId="18">
    <w:abstractNumId w:val="8"/>
  </w:num>
  <w:num w:numId="19">
    <w:abstractNumId w:val="16"/>
  </w:num>
  <w:num w:numId="20">
    <w:abstractNumId w:val="31"/>
  </w:num>
  <w:num w:numId="21">
    <w:abstractNumId w:val="0"/>
  </w:num>
  <w:num w:numId="22">
    <w:abstractNumId w:val="13"/>
  </w:num>
  <w:num w:numId="23">
    <w:abstractNumId w:val="26"/>
  </w:num>
  <w:num w:numId="24">
    <w:abstractNumId w:val="6"/>
  </w:num>
  <w:num w:numId="25">
    <w:abstractNumId w:val="23"/>
  </w:num>
  <w:num w:numId="26">
    <w:abstractNumId w:val="12"/>
  </w:num>
  <w:num w:numId="27">
    <w:abstractNumId w:val="30"/>
  </w:num>
  <w:num w:numId="28">
    <w:abstractNumId w:val="4"/>
  </w:num>
  <w:num w:numId="29">
    <w:abstractNumId w:val="19"/>
  </w:num>
  <w:num w:numId="30">
    <w:abstractNumId w:val="22"/>
  </w:num>
  <w:num w:numId="31">
    <w:abstractNumId w:val="9"/>
  </w:num>
  <w:num w:numId="32">
    <w:abstractNumId w:val="21"/>
  </w:num>
  <w:num w:numId="33">
    <w:abstractNumId w:val="1"/>
  </w:num>
  <w:num w:numId="34">
    <w:abstractNumId w:val="1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92"/>
    <w:rsid w:val="00005C79"/>
    <w:rsid w:val="00055867"/>
    <w:rsid w:val="00065C5D"/>
    <w:rsid w:val="000713E3"/>
    <w:rsid w:val="0007344C"/>
    <w:rsid w:val="000B6391"/>
    <w:rsid w:val="000D17A3"/>
    <w:rsid w:val="000D6770"/>
    <w:rsid w:val="000F12EC"/>
    <w:rsid w:val="000F2BD5"/>
    <w:rsid w:val="000F6636"/>
    <w:rsid w:val="00134118"/>
    <w:rsid w:val="0013503C"/>
    <w:rsid w:val="00162CEB"/>
    <w:rsid w:val="001676FE"/>
    <w:rsid w:val="00207292"/>
    <w:rsid w:val="00234580"/>
    <w:rsid w:val="002F5590"/>
    <w:rsid w:val="0030356D"/>
    <w:rsid w:val="003222E6"/>
    <w:rsid w:val="0032304D"/>
    <w:rsid w:val="00376D55"/>
    <w:rsid w:val="00380061"/>
    <w:rsid w:val="003C6739"/>
    <w:rsid w:val="003E0504"/>
    <w:rsid w:val="0043006A"/>
    <w:rsid w:val="004432A4"/>
    <w:rsid w:val="004736AF"/>
    <w:rsid w:val="0051714A"/>
    <w:rsid w:val="005249FE"/>
    <w:rsid w:val="0052574C"/>
    <w:rsid w:val="00542FD6"/>
    <w:rsid w:val="00580767"/>
    <w:rsid w:val="005D5073"/>
    <w:rsid w:val="0063225E"/>
    <w:rsid w:val="006B1EC4"/>
    <w:rsid w:val="006B2B58"/>
    <w:rsid w:val="006B496B"/>
    <w:rsid w:val="006C73B1"/>
    <w:rsid w:val="006E4D50"/>
    <w:rsid w:val="006E7178"/>
    <w:rsid w:val="007C77CB"/>
    <w:rsid w:val="00875C10"/>
    <w:rsid w:val="0089510D"/>
    <w:rsid w:val="008B631D"/>
    <w:rsid w:val="008C27CD"/>
    <w:rsid w:val="00900CFE"/>
    <w:rsid w:val="0093476F"/>
    <w:rsid w:val="009B643A"/>
    <w:rsid w:val="009C08A4"/>
    <w:rsid w:val="00A34282"/>
    <w:rsid w:val="00A776EA"/>
    <w:rsid w:val="00AB3051"/>
    <w:rsid w:val="00AC3414"/>
    <w:rsid w:val="00B17368"/>
    <w:rsid w:val="00B5294A"/>
    <w:rsid w:val="00B772BA"/>
    <w:rsid w:val="00B87F18"/>
    <w:rsid w:val="00BC44EC"/>
    <w:rsid w:val="00BE2395"/>
    <w:rsid w:val="00C0399B"/>
    <w:rsid w:val="00C1343E"/>
    <w:rsid w:val="00C33678"/>
    <w:rsid w:val="00C33F7D"/>
    <w:rsid w:val="00C446F9"/>
    <w:rsid w:val="00C827ED"/>
    <w:rsid w:val="00CB276E"/>
    <w:rsid w:val="00D06117"/>
    <w:rsid w:val="00D2678E"/>
    <w:rsid w:val="00D40BF0"/>
    <w:rsid w:val="00D537FB"/>
    <w:rsid w:val="00D8402C"/>
    <w:rsid w:val="00DC36AA"/>
    <w:rsid w:val="00DF5556"/>
    <w:rsid w:val="00E70AF1"/>
    <w:rsid w:val="00E86255"/>
    <w:rsid w:val="00E875F1"/>
    <w:rsid w:val="00EA345D"/>
    <w:rsid w:val="00EB14DA"/>
    <w:rsid w:val="00EB5887"/>
    <w:rsid w:val="00ED0DAA"/>
    <w:rsid w:val="00F02CA0"/>
    <w:rsid w:val="00F35992"/>
    <w:rsid w:val="00F362EB"/>
    <w:rsid w:val="00F47FDB"/>
    <w:rsid w:val="00F64EF5"/>
    <w:rsid w:val="00F73A00"/>
    <w:rsid w:val="00F74849"/>
    <w:rsid w:val="00FB69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Light" w:hAnsi="HelvLight"/>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spacing w:after="120"/>
      <w:jc w:val="both"/>
      <w:outlineLvl w:val="3"/>
    </w:pPr>
    <w:rPr>
      <w:i/>
    </w:rPr>
  </w:style>
  <w:style w:type="paragraph" w:styleId="Heading5">
    <w:name w:val="heading 5"/>
    <w:basedOn w:val="Normal"/>
    <w:next w:val="Normal"/>
    <w:qFormat/>
    <w:pPr>
      <w:keepNext/>
      <w:spacing w:after="120"/>
      <w:jc w:val="both"/>
      <w:outlineLvl w:val="4"/>
    </w:pPr>
    <w:rPr>
      <w:rFonts w:ascii="Helvetica" w:hAnsi="Helvetica"/>
      <w:b/>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rachead1">
    <w:name w:val="mtrac head 1"/>
    <w:basedOn w:val="Heading1"/>
    <w:pPr>
      <w:spacing w:before="0" w:after="0"/>
      <w:jc w:val="both"/>
    </w:pPr>
    <w:rPr>
      <w:snapToGrid w:val="0"/>
      <w:kern w:val="0"/>
      <w:sz w:val="24"/>
      <w:u w:val="single"/>
      <w:lang w:eastAsia="en-US"/>
    </w:rPr>
  </w:style>
  <w:style w:type="paragraph" w:customStyle="1" w:styleId="mtrachead2">
    <w:name w:val="mtrac head 2"/>
    <w:basedOn w:val="Heading2"/>
    <w:pPr>
      <w:numPr>
        <w:ilvl w:val="12"/>
      </w:numPr>
      <w:spacing w:before="0" w:after="0"/>
      <w:jc w:val="both"/>
    </w:pPr>
    <w:rPr>
      <w:i w:val="0"/>
      <w:snapToGrid w:val="0"/>
      <w:lang w:eastAsia="en-US"/>
    </w:rPr>
  </w:style>
  <w:style w:type="paragraph" w:customStyle="1" w:styleId="mtrachead3">
    <w:name w:val="mtrac head 3"/>
    <w:basedOn w:val="Heading3"/>
    <w:pPr>
      <w:spacing w:before="0" w:after="0"/>
    </w:pPr>
    <w:rPr>
      <w:b/>
      <w:snapToGrid w:val="0"/>
      <w:sz w:val="20"/>
      <w:lang w:eastAsia="en-US"/>
    </w:rPr>
  </w:style>
  <w:style w:type="paragraph" w:customStyle="1" w:styleId="mtrachead4">
    <w:name w:val="mtrac head 4"/>
    <w:basedOn w:val="Footer"/>
    <w:pPr>
      <w:tabs>
        <w:tab w:val="clear" w:pos="4153"/>
        <w:tab w:val="clear" w:pos="8306"/>
      </w:tabs>
      <w:jc w:val="both"/>
    </w:pPr>
    <w:rPr>
      <w:b/>
      <w:i/>
      <w:snapToGrid w:val="0"/>
      <w:lang w:eastAsia="en-US"/>
    </w:rPr>
  </w:style>
  <w:style w:type="paragraph" w:styleId="Footer">
    <w:name w:val="footer"/>
    <w:basedOn w:val="Normal"/>
    <w:pPr>
      <w:tabs>
        <w:tab w:val="center" w:pos="4153"/>
        <w:tab w:val="right" w:pos="8306"/>
      </w:tabs>
    </w:pPr>
  </w:style>
  <w:style w:type="paragraph" w:customStyle="1" w:styleId="mtrachead5">
    <w:name w:val="mtrac head 5"/>
    <w:basedOn w:val="Footer"/>
    <w:pPr>
      <w:numPr>
        <w:ilvl w:val="12"/>
      </w:numPr>
      <w:tabs>
        <w:tab w:val="clear" w:pos="4153"/>
        <w:tab w:val="clear" w:pos="8306"/>
      </w:tabs>
      <w:jc w:val="both"/>
    </w:pPr>
    <w:rPr>
      <w:snapToGrid w:val="0"/>
      <w:lang w:eastAsia="en-US"/>
    </w:rPr>
  </w:style>
  <w:style w:type="paragraph" w:customStyle="1" w:styleId="mtrachead6">
    <w:name w:val="mtrac head 6"/>
    <w:basedOn w:val="Normal"/>
    <w:rPr>
      <w:i/>
      <w:snapToGrid w:val="0"/>
      <w:spacing w:val="-3"/>
      <w:lang w:eastAsia="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jc w:val="both"/>
    </w:pPr>
  </w:style>
  <w:style w:type="paragraph" w:styleId="Header">
    <w:name w:val="header"/>
    <w:basedOn w:val="Normal"/>
    <w:pPr>
      <w:tabs>
        <w:tab w:val="center" w:pos="4153"/>
        <w:tab w:val="right" w:pos="8306"/>
      </w:tabs>
    </w:pPr>
  </w:style>
  <w:style w:type="paragraph" w:styleId="BodyText">
    <w:name w:val="Body Text"/>
    <w:basedOn w:val="Normal"/>
    <w:pPr>
      <w:jc w:val="both"/>
    </w:pPr>
    <w:rPr>
      <w:i/>
    </w:rPr>
  </w:style>
  <w:style w:type="paragraph" w:styleId="BodyText3">
    <w:name w:val="Body Text 3"/>
    <w:basedOn w:val="Normal"/>
    <w:pPr>
      <w:tabs>
        <w:tab w:val="left" w:pos="-720"/>
        <w:tab w:val="right" w:pos="8505"/>
      </w:tabs>
      <w:suppressAutoHyphens/>
      <w:spacing w:after="120"/>
      <w:ind w:right="29"/>
      <w:jc w:val="both"/>
    </w:pPr>
    <w:rPr>
      <w:rFonts w:ascii="Helvetica" w:hAnsi="Helvetica"/>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rFonts w:ascii="Times New Roman" w:hAnsi="Times New Roman"/>
      <w:sz w:val="24"/>
      <w:szCs w:val="24"/>
      <w:lang w:val="en-US" w:eastAsia="en-US"/>
    </w:rPr>
  </w:style>
  <w:style w:type="character" w:styleId="Hyperlink">
    <w:name w:val="Hyperlink"/>
    <w:rsid w:val="003E050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Light" w:hAnsi="HelvLight"/>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spacing w:after="120"/>
      <w:jc w:val="both"/>
      <w:outlineLvl w:val="3"/>
    </w:pPr>
    <w:rPr>
      <w:i/>
    </w:rPr>
  </w:style>
  <w:style w:type="paragraph" w:styleId="Heading5">
    <w:name w:val="heading 5"/>
    <w:basedOn w:val="Normal"/>
    <w:next w:val="Normal"/>
    <w:qFormat/>
    <w:pPr>
      <w:keepNext/>
      <w:spacing w:after="120"/>
      <w:jc w:val="both"/>
      <w:outlineLvl w:val="4"/>
    </w:pPr>
    <w:rPr>
      <w:rFonts w:ascii="Helvetica" w:hAnsi="Helvetica"/>
      <w:b/>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rachead1">
    <w:name w:val="mtrac head 1"/>
    <w:basedOn w:val="Heading1"/>
    <w:pPr>
      <w:spacing w:before="0" w:after="0"/>
      <w:jc w:val="both"/>
    </w:pPr>
    <w:rPr>
      <w:snapToGrid w:val="0"/>
      <w:kern w:val="0"/>
      <w:sz w:val="24"/>
      <w:u w:val="single"/>
      <w:lang w:eastAsia="en-US"/>
    </w:rPr>
  </w:style>
  <w:style w:type="paragraph" w:customStyle="1" w:styleId="mtrachead2">
    <w:name w:val="mtrac head 2"/>
    <w:basedOn w:val="Heading2"/>
    <w:pPr>
      <w:numPr>
        <w:ilvl w:val="12"/>
      </w:numPr>
      <w:spacing w:before="0" w:after="0"/>
      <w:jc w:val="both"/>
    </w:pPr>
    <w:rPr>
      <w:i w:val="0"/>
      <w:snapToGrid w:val="0"/>
      <w:lang w:eastAsia="en-US"/>
    </w:rPr>
  </w:style>
  <w:style w:type="paragraph" w:customStyle="1" w:styleId="mtrachead3">
    <w:name w:val="mtrac head 3"/>
    <w:basedOn w:val="Heading3"/>
    <w:pPr>
      <w:spacing w:before="0" w:after="0"/>
    </w:pPr>
    <w:rPr>
      <w:b/>
      <w:snapToGrid w:val="0"/>
      <w:sz w:val="20"/>
      <w:lang w:eastAsia="en-US"/>
    </w:rPr>
  </w:style>
  <w:style w:type="paragraph" w:customStyle="1" w:styleId="mtrachead4">
    <w:name w:val="mtrac head 4"/>
    <w:basedOn w:val="Footer"/>
    <w:pPr>
      <w:tabs>
        <w:tab w:val="clear" w:pos="4153"/>
        <w:tab w:val="clear" w:pos="8306"/>
      </w:tabs>
      <w:jc w:val="both"/>
    </w:pPr>
    <w:rPr>
      <w:b/>
      <w:i/>
      <w:snapToGrid w:val="0"/>
      <w:lang w:eastAsia="en-US"/>
    </w:rPr>
  </w:style>
  <w:style w:type="paragraph" w:styleId="Footer">
    <w:name w:val="footer"/>
    <w:basedOn w:val="Normal"/>
    <w:pPr>
      <w:tabs>
        <w:tab w:val="center" w:pos="4153"/>
        <w:tab w:val="right" w:pos="8306"/>
      </w:tabs>
    </w:pPr>
  </w:style>
  <w:style w:type="paragraph" w:customStyle="1" w:styleId="mtrachead5">
    <w:name w:val="mtrac head 5"/>
    <w:basedOn w:val="Footer"/>
    <w:pPr>
      <w:numPr>
        <w:ilvl w:val="12"/>
      </w:numPr>
      <w:tabs>
        <w:tab w:val="clear" w:pos="4153"/>
        <w:tab w:val="clear" w:pos="8306"/>
      </w:tabs>
      <w:jc w:val="both"/>
    </w:pPr>
    <w:rPr>
      <w:snapToGrid w:val="0"/>
      <w:lang w:eastAsia="en-US"/>
    </w:rPr>
  </w:style>
  <w:style w:type="paragraph" w:customStyle="1" w:styleId="mtrachead6">
    <w:name w:val="mtrac head 6"/>
    <w:basedOn w:val="Normal"/>
    <w:rPr>
      <w:i/>
      <w:snapToGrid w:val="0"/>
      <w:spacing w:val="-3"/>
      <w:lang w:eastAsia="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jc w:val="both"/>
    </w:pPr>
  </w:style>
  <w:style w:type="paragraph" w:styleId="Header">
    <w:name w:val="header"/>
    <w:basedOn w:val="Normal"/>
    <w:pPr>
      <w:tabs>
        <w:tab w:val="center" w:pos="4153"/>
        <w:tab w:val="right" w:pos="8306"/>
      </w:tabs>
    </w:pPr>
  </w:style>
  <w:style w:type="paragraph" w:styleId="BodyText">
    <w:name w:val="Body Text"/>
    <w:basedOn w:val="Normal"/>
    <w:pPr>
      <w:jc w:val="both"/>
    </w:pPr>
    <w:rPr>
      <w:i/>
    </w:rPr>
  </w:style>
  <w:style w:type="paragraph" w:styleId="BodyText3">
    <w:name w:val="Body Text 3"/>
    <w:basedOn w:val="Normal"/>
    <w:pPr>
      <w:tabs>
        <w:tab w:val="left" w:pos="-720"/>
        <w:tab w:val="right" w:pos="8505"/>
      </w:tabs>
      <w:suppressAutoHyphens/>
      <w:spacing w:after="120"/>
      <w:ind w:right="29"/>
      <w:jc w:val="both"/>
    </w:pPr>
    <w:rPr>
      <w:rFonts w:ascii="Helvetica" w:hAnsi="Helvetica"/>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rFonts w:ascii="Times New Roman" w:hAnsi="Times New Roman"/>
      <w:sz w:val="24"/>
      <w:szCs w:val="24"/>
      <w:lang w:val="en-US" w:eastAsia="en-US"/>
    </w:rPr>
  </w:style>
  <w:style w:type="character" w:styleId="Hyperlink">
    <w:name w:val="Hyperlink"/>
    <w:rsid w:val="003E0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428">
      <w:bodyDiv w:val="1"/>
      <w:marLeft w:val="0"/>
      <w:marRight w:val="0"/>
      <w:marTop w:val="0"/>
      <w:marBottom w:val="0"/>
      <w:divBdr>
        <w:top w:val="none" w:sz="0" w:space="0" w:color="auto"/>
        <w:left w:val="none" w:sz="0" w:space="0" w:color="auto"/>
        <w:bottom w:val="none" w:sz="0" w:space="0" w:color="auto"/>
        <w:right w:val="none" w:sz="0" w:space="0" w:color="auto"/>
      </w:divBdr>
    </w:div>
    <w:div w:id="1059128854">
      <w:bodyDiv w:val="1"/>
      <w:marLeft w:val="0"/>
      <w:marRight w:val="0"/>
      <w:marTop w:val="0"/>
      <w:marBottom w:val="0"/>
      <w:divBdr>
        <w:top w:val="none" w:sz="0" w:space="0" w:color="auto"/>
        <w:left w:val="none" w:sz="0" w:space="0" w:color="auto"/>
        <w:bottom w:val="none" w:sz="0" w:space="0" w:color="auto"/>
        <w:right w:val="none" w:sz="0" w:space="0" w:color="auto"/>
      </w:divBdr>
    </w:div>
    <w:div w:id="1358967840">
      <w:bodyDiv w:val="1"/>
      <w:marLeft w:val="0"/>
      <w:marRight w:val="0"/>
      <w:marTop w:val="0"/>
      <w:marBottom w:val="0"/>
      <w:divBdr>
        <w:top w:val="none" w:sz="0" w:space="0" w:color="auto"/>
        <w:left w:val="none" w:sz="0" w:space="0" w:color="auto"/>
        <w:bottom w:val="none" w:sz="0" w:space="0" w:color="auto"/>
        <w:right w:val="none" w:sz="0" w:space="0" w:color="auto"/>
      </w:divBdr>
    </w:div>
    <w:div w:id="168751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yellowcard.mhra.gov.uk/" TargetMode="External"/><Relationship Id="rId9" Type="http://schemas.openxmlformats.org/officeDocument/2006/relationships/hyperlink" Target="https://www.medicines.org.uk/emc/"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late%20ESCA%20(oct%2002%20onward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\Program Files\Microsoft Office\Templates\template ESCA (oct 02 onwards).dot</Template>
  <TotalTime>1</TotalTime>
  <Pages>2</Pages>
  <Words>1024</Words>
  <Characters>5843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TOBRAMYCIN NEBULISER SOLUTION</vt:lpstr>
    </vt:vector>
  </TitlesOfParts>
  <Company>Dept. Medicines Management</Company>
  <LinksUpToDate>false</LinksUpToDate>
  <CharactersWithSpaces>6854</CharactersWithSpaces>
  <SharedDoc>false</SharedDoc>
  <HLinks>
    <vt:vector size="12" baseType="variant">
      <vt:variant>
        <vt:i4>5701640</vt:i4>
      </vt:variant>
      <vt:variant>
        <vt:i4>3</vt:i4>
      </vt:variant>
      <vt:variant>
        <vt:i4>0</vt:i4>
      </vt:variant>
      <vt:variant>
        <vt:i4>5</vt:i4>
      </vt:variant>
      <vt:variant>
        <vt:lpwstr>https://www.medicines.org.uk/emc/</vt:lpwstr>
      </vt:variant>
      <vt:variant>
        <vt:lpwstr/>
      </vt:variant>
      <vt:variant>
        <vt:i4>7405672</vt:i4>
      </vt:variant>
      <vt:variant>
        <vt:i4>0</vt:i4>
      </vt:variant>
      <vt:variant>
        <vt:i4>0</vt:i4>
      </vt:variant>
      <vt:variant>
        <vt:i4>5</vt:i4>
      </vt:variant>
      <vt:variant>
        <vt:lpwstr>https://yellowcard.mhra.gov.uk/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TOBRAMYCIN NEBULISER SOLUTION</dc:title>
  <dc:creator>Claire Stevens</dc:creator>
  <cp:lastModifiedBy>Simon Thomas</cp:lastModifiedBy>
  <cp:revision>2</cp:revision>
  <cp:lastPrinted>2014-02-28T13:21:00Z</cp:lastPrinted>
  <dcterms:created xsi:type="dcterms:W3CDTF">2014-03-10T16:20:00Z</dcterms:created>
  <dcterms:modified xsi:type="dcterms:W3CDTF">2014-03-10T16:20:00Z</dcterms:modified>
</cp:coreProperties>
</file>